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75FA" w:rsidRDefault="00097B3A">
      <w:pPr>
        <w:tabs>
          <w:tab w:val="left" w:pos="2457"/>
          <w:tab w:val="center" w:pos="4819"/>
        </w:tabs>
        <w:spacing w:line="420" w:lineRule="exact"/>
        <w:jc w:val="center"/>
      </w:pPr>
      <w:bookmarkStart w:id="0" w:name="_GoBack"/>
      <w:bookmarkEnd w:id="0"/>
      <w:r>
        <w:rPr>
          <w:rFonts w:ascii="標楷體" w:hAnsi="標楷體"/>
          <w:b/>
          <w:bCs/>
          <w:szCs w:val="32"/>
        </w:rPr>
        <w:t>國立臺中教育大學台灣語文學系教師升等審議要點</w:t>
      </w:r>
    </w:p>
    <w:p w:rsidR="008975FA" w:rsidRDefault="00097B3A">
      <w:pPr>
        <w:snapToGrid w:val="0"/>
        <w:spacing w:before="240"/>
        <w:ind w:firstLine="1198"/>
        <w:jc w:val="right"/>
        <w:rPr>
          <w:rFonts w:ascii="標楷體" w:hAnsi="標楷體"/>
          <w:sz w:val="20"/>
          <w:szCs w:val="20"/>
        </w:rPr>
      </w:pPr>
      <w:r>
        <w:rPr>
          <w:rFonts w:ascii="標楷體" w:hAnsi="標楷體"/>
          <w:sz w:val="20"/>
          <w:szCs w:val="20"/>
        </w:rPr>
        <w:t xml:space="preserve"> 95</w:t>
      </w:r>
      <w:r>
        <w:rPr>
          <w:rFonts w:ascii="標楷體" w:hAnsi="標楷體"/>
          <w:sz w:val="20"/>
          <w:szCs w:val="20"/>
        </w:rPr>
        <w:t>年</w:t>
      </w:r>
      <w:r>
        <w:rPr>
          <w:rFonts w:ascii="標楷體" w:hAnsi="標楷體"/>
          <w:sz w:val="20"/>
          <w:szCs w:val="20"/>
        </w:rPr>
        <w:t>9</w:t>
      </w:r>
      <w:r>
        <w:rPr>
          <w:rFonts w:ascii="標楷體" w:hAnsi="標楷體"/>
          <w:sz w:val="20"/>
          <w:szCs w:val="20"/>
        </w:rPr>
        <w:t>月</w:t>
      </w:r>
      <w:r>
        <w:rPr>
          <w:rFonts w:ascii="標楷體" w:hAnsi="標楷體"/>
          <w:sz w:val="20"/>
          <w:szCs w:val="20"/>
        </w:rPr>
        <w:t>21</w:t>
      </w:r>
      <w:r>
        <w:rPr>
          <w:rFonts w:ascii="標楷體" w:hAnsi="標楷體"/>
          <w:sz w:val="20"/>
          <w:szCs w:val="20"/>
        </w:rPr>
        <w:t>日本系系教師評審委員會議通過</w:t>
      </w:r>
      <w:r>
        <w:rPr>
          <w:rFonts w:ascii="標楷體" w:hAnsi="標楷體"/>
          <w:sz w:val="20"/>
          <w:szCs w:val="20"/>
        </w:rPr>
        <w:t xml:space="preserve"> </w:t>
      </w:r>
    </w:p>
    <w:p w:rsidR="008975FA" w:rsidRDefault="00097B3A">
      <w:pPr>
        <w:pStyle w:val="Web"/>
        <w:spacing w:before="0" w:after="0"/>
        <w:jc w:val="right"/>
        <w:rPr>
          <w:rFonts w:ascii="標楷體" w:eastAsia="標楷體" w:hAnsi="標楷體"/>
          <w:sz w:val="20"/>
          <w:szCs w:val="20"/>
        </w:rPr>
      </w:pPr>
      <w:r>
        <w:rPr>
          <w:rFonts w:ascii="標楷體" w:eastAsia="標楷體" w:hAnsi="標楷體"/>
          <w:sz w:val="20"/>
          <w:szCs w:val="20"/>
        </w:rPr>
        <w:t>95</w:t>
      </w:r>
      <w:r>
        <w:rPr>
          <w:rFonts w:ascii="標楷體" w:eastAsia="標楷體" w:hAnsi="標楷體"/>
          <w:sz w:val="20"/>
          <w:szCs w:val="20"/>
        </w:rPr>
        <w:t>年</w:t>
      </w:r>
      <w:r>
        <w:rPr>
          <w:rFonts w:ascii="標楷體" w:eastAsia="標楷體" w:hAnsi="標楷體"/>
          <w:sz w:val="20"/>
          <w:szCs w:val="20"/>
        </w:rPr>
        <w:t>12</w:t>
      </w:r>
      <w:r>
        <w:rPr>
          <w:rFonts w:ascii="標楷體" w:eastAsia="標楷體" w:hAnsi="標楷體"/>
          <w:sz w:val="20"/>
          <w:szCs w:val="20"/>
        </w:rPr>
        <w:t>月</w:t>
      </w:r>
      <w:r>
        <w:rPr>
          <w:rFonts w:ascii="標楷體" w:eastAsia="標楷體" w:hAnsi="標楷體"/>
          <w:sz w:val="20"/>
          <w:szCs w:val="20"/>
        </w:rPr>
        <w:t>28</w:t>
      </w:r>
      <w:r>
        <w:rPr>
          <w:rFonts w:ascii="標楷體" w:eastAsia="標楷體" w:hAnsi="標楷體"/>
          <w:sz w:val="20"/>
          <w:szCs w:val="20"/>
        </w:rPr>
        <w:t>日本系系教師評審委員會議修正通過</w:t>
      </w:r>
    </w:p>
    <w:p w:rsidR="008975FA" w:rsidRDefault="00097B3A">
      <w:pPr>
        <w:pStyle w:val="Web"/>
        <w:spacing w:before="0" w:after="0"/>
        <w:jc w:val="right"/>
        <w:rPr>
          <w:rFonts w:ascii="標楷體" w:eastAsia="標楷體" w:hAnsi="標楷體"/>
          <w:sz w:val="20"/>
          <w:szCs w:val="20"/>
        </w:rPr>
      </w:pPr>
      <w:r>
        <w:rPr>
          <w:rFonts w:ascii="標楷體" w:eastAsia="標楷體" w:hAnsi="標楷體"/>
          <w:sz w:val="20"/>
          <w:szCs w:val="20"/>
        </w:rPr>
        <w:t>100</w:t>
      </w:r>
      <w:r>
        <w:rPr>
          <w:rFonts w:ascii="標楷體" w:eastAsia="標楷體" w:hAnsi="標楷體"/>
          <w:sz w:val="20"/>
          <w:szCs w:val="20"/>
        </w:rPr>
        <w:t>年</w:t>
      </w:r>
      <w:r>
        <w:rPr>
          <w:rFonts w:ascii="標楷體" w:eastAsia="標楷體" w:hAnsi="標楷體"/>
          <w:sz w:val="20"/>
          <w:szCs w:val="20"/>
        </w:rPr>
        <w:t>2</w:t>
      </w:r>
      <w:r>
        <w:rPr>
          <w:rFonts w:ascii="標楷體" w:eastAsia="標楷體" w:hAnsi="標楷體"/>
          <w:sz w:val="20"/>
          <w:szCs w:val="20"/>
        </w:rPr>
        <w:t>月</w:t>
      </w:r>
      <w:r>
        <w:rPr>
          <w:rFonts w:ascii="標楷體" w:eastAsia="標楷體" w:hAnsi="標楷體"/>
          <w:sz w:val="20"/>
          <w:szCs w:val="20"/>
        </w:rPr>
        <w:t>10</w:t>
      </w:r>
      <w:r>
        <w:rPr>
          <w:rFonts w:ascii="標楷體" w:eastAsia="標楷體" w:hAnsi="標楷體"/>
          <w:sz w:val="20"/>
          <w:szCs w:val="20"/>
        </w:rPr>
        <w:t>日</w:t>
      </w:r>
      <w:bookmarkStart w:id="1" w:name="OLE_LINK1"/>
      <w:bookmarkStart w:id="2" w:name="OLE_LINK2"/>
      <w:r>
        <w:rPr>
          <w:rFonts w:ascii="標楷體" w:eastAsia="標楷體" w:hAnsi="標楷體"/>
          <w:sz w:val="20"/>
          <w:szCs w:val="20"/>
        </w:rPr>
        <w:t>本系系教師評審委員會議</w:t>
      </w:r>
      <w:bookmarkEnd w:id="1"/>
      <w:bookmarkEnd w:id="2"/>
      <w:r>
        <w:rPr>
          <w:rFonts w:ascii="標楷體" w:eastAsia="標楷體" w:hAnsi="標楷體"/>
          <w:sz w:val="20"/>
          <w:szCs w:val="20"/>
        </w:rPr>
        <w:t>修正第</w:t>
      </w:r>
      <w:r>
        <w:rPr>
          <w:rFonts w:ascii="標楷體" w:eastAsia="標楷體" w:hAnsi="標楷體"/>
          <w:sz w:val="20"/>
          <w:szCs w:val="20"/>
        </w:rPr>
        <w:t>2</w:t>
      </w:r>
      <w:r>
        <w:rPr>
          <w:rFonts w:ascii="標楷體" w:eastAsia="標楷體" w:hAnsi="標楷體"/>
          <w:sz w:val="20"/>
          <w:szCs w:val="20"/>
        </w:rPr>
        <w:t>、</w:t>
      </w:r>
      <w:r>
        <w:rPr>
          <w:rFonts w:ascii="標楷體" w:eastAsia="標楷體" w:hAnsi="標楷體"/>
          <w:sz w:val="20"/>
          <w:szCs w:val="20"/>
        </w:rPr>
        <w:t>5</w:t>
      </w:r>
      <w:r>
        <w:rPr>
          <w:rFonts w:ascii="標楷體" w:eastAsia="標楷體" w:hAnsi="標楷體"/>
          <w:sz w:val="20"/>
          <w:szCs w:val="20"/>
        </w:rPr>
        <w:t>、</w:t>
      </w:r>
      <w:r>
        <w:rPr>
          <w:rFonts w:ascii="標楷體" w:eastAsia="標楷體" w:hAnsi="標楷體"/>
          <w:sz w:val="20"/>
          <w:szCs w:val="20"/>
        </w:rPr>
        <w:t>6</w:t>
      </w:r>
      <w:r>
        <w:rPr>
          <w:rFonts w:ascii="標楷體" w:eastAsia="標楷體" w:hAnsi="標楷體"/>
          <w:sz w:val="20"/>
          <w:szCs w:val="20"/>
        </w:rPr>
        <w:t>點</w:t>
      </w:r>
    </w:p>
    <w:p w:rsidR="008975FA" w:rsidRDefault="00097B3A">
      <w:pPr>
        <w:pStyle w:val="Web"/>
        <w:spacing w:before="0" w:after="0"/>
        <w:jc w:val="right"/>
        <w:rPr>
          <w:rFonts w:ascii="標楷體" w:eastAsia="標楷體" w:hAnsi="標楷體"/>
          <w:sz w:val="20"/>
          <w:szCs w:val="20"/>
        </w:rPr>
      </w:pPr>
      <w:r>
        <w:rPr>
          <w:rFonts w:ascii="標楷體" w:eastAsia="標楷體" w:hAnsi="標楷體"/>
          <w:sz w:val="20"/>
          <w:szCs w:val="20"/>
        </w:rPr>
        <w:t>100</w:t>
      </w:r>
      <w:r>
        <w:rPr>
          <w:rFonts w:ascii="標楷體" w:eastAsia="標楷體" w:hAnsi="標楷體"/>
          <w:sz w:val="20"/>
          <w:szCs w:val="20"/>
        </w:rPr>
        <w:t>年</w:t>
      </w:r>
      <w:r>
        <w:rPr>
          <w:rFonts w:ascii="標楷體" w:eastAsia="標楷體" w:hAnsi="標楷體"/>
          <w:sz w:val="20"/>
          <w:szCs w:val="20"/>
        </w:rPr>
        <w:t>3</w:t>
      </w:r>
      <w:r>
        <w:rPr>
          <w:rFonts w:ascii="標楷體" w:eastAsia="標楷體" w:hAnsi="標楷體"/>
          <w:sz w:val="20"/>
          <w:szCs w:val="20"/>
        </w:rPr>
        <w:t>月</w:t>
      </w:r>
      <w:r>
        <w:rPr>
          <w:rFonts w:ascii="標楷體" w:eastAsia="標楷體" w:hAnsi="標楷體"/>
          <w:sz w:val="20"/>
          <w:szCs w:val="20"/>
        </w:rPr>
        <w:t>23</w:t>
      </w:r>
      <w:r>
        <w:rPr>
          <w:rFonts w:ascii="標楷體" w:eastAsia="標楷體" w:hAnsi="標楷體"/>
          <w:sz w:val="20"/>
          <w:szCs w:val="20"/>
        </w:rPr>
        <w:t>日本系系教師評審委員會議修正第</w:t>
      </w:r>
      <w:r>
        <w:rPr>
          <w:rFonts w:ascii="標楷體" w:eastAsia="標楷體" w:hAnsi="標楷體"/>
          <w:sz w:val="20"/>
          <w:szCs w:val="20"/>
        </w:rPr>
        <w:t>1</w:t>
      </w:r>
      <w:r>
        <w:rPr>
          <w:rFonts w:ascii="標楷體" w:eastAsia="標楷體" w:hAnsi="標楷體"/>
          <w:sz w:val="20"/>
          <w:szCs w:val="20"/>
        </w:rPr>
        <w:t>、</w:t>
      </w:r>
      <w:r>
        <w:rPr>
          <w:rFonts w:ascii="標楷體" w:eastAsia="標楷體" w:hAnsi="標楷體"/>
          <w:sz w:val="20"/>
          <w:szCs w:val="20"/>
        </w:rPr>
        <w:t>5</w:t>
      </w:r>
      <w:r>
        <w:rPr>
          <w:rFonts w:ascii="標楷體" w:eastAsia="標楷體" w:hAnsi="標楷體"/>
          <w:sz w:val="20"/>
          <w:szCs w:val="20"/>
        </w:rPr>
        <w:t>、</w:t>
      </w:r>
      <w:r>
        <w:rPr>
          <w:rFonts w:ascii="標楷體" w:eastAsia="標楷體" w:hAnsi="標楷體"/>
          <w:sz w:val="20"/>
          <w:szCs w:val="20"/>
        </w:rPr>
        <w:t>6</w:t>
      </w:r>
      <w:r>
        <w:rPr>
          <w:rFonts w:ascii="標楷體" w:eastAsia="標楷體" w:hAnsi="標楷體"/>
          <w:sz w:val="20"/>
          <w:szCs w:val="20"/>
        </w:rPr>
        <w:t>點</w:t>
      </w:r>
    </w:p>
    <w:p w:rsidR="008975FA" w:rsidRDefault="00097B3A">
      <w:pPr>
        <w:pStyle w:val="Web"/>
        <w:spacing w:before="0" w:after="0"/>
        <w:jc w:val="right"/>
        <w:rPr>
          <w:rFonts w:ascii="標楷體" w:eastAsia="標楷體" w:hAnsi="標楷體"/>
          <w:sz w:val="20"/>
          <w:szCs w:val="20"/>
        </w:rPr>
      </w:pPr>
      <w:r>
        <w:rPr>
          <w:rFonts w:ascii="標楷體" w:eastAsia="標楷體" w:hAnsi="標楷體"/>
          <w:sz w:val="20"/>
          <w:szCs w:val="20"/>
        </w:rPr>
        <w:t>102</w:t>
      </w:r>
      <w:r>
        <w:rPr>
          <w:rFonts w:ascii="標楷體" w:eastAsia="標楷體" w:hAnsi="標楷體"/>
          <w:sz w:val="20"/>
          <w:szCs w:val="20"/>
        </w:rPr>
        <w:t>年</w:t>
      </w:r>
      <w:r>
        <w:rPr>
          <w:rFonts w:ascii="標楷體" w:eastAsia="標楷體" w:hAnsi="標楷體"/>
          <w:sz w:val="20"/>
          <w:szCs w:val="20"/>
        </w:rPr>
        <w:t>6</w:t>
      </w:r>
      <w:r>
        <w:rPr>
          <w:rFonts w:ascii="標楷體" w:eastAsia="標楷體" w:hAnsi="標楷體"/>
          <w:sz w:val="20"/>
          <w:szCs w:val="20"/>
        </w:rPr>
        <w:t>月</w:t>
      </w:r>
      <w:r>
        <w:rPr>
          <w:rFonts w:ascii="標楷體" w:eastAsia="標楷體" w:hAnsi="標楷體"/>
          <w:sz w:val="20"/>
          <w:szCs w:val="20"/>
        </w:rPr>
        <w:t>6</w:t>
      </w:r>
      <w:r>
        <w:rPr>
          <w:rFonts w:ascii="標楷體" w:eastAsia="標楷體" w:hAnsi="標楷體"/>
          <w:sz w:val="20"/>
          <w:szCs w:val="20"/>
        </w:rPr>
        <w:t>日本系系教師評審委員會議修正通過</w:t>
      </w:r>
    </w:p>
    <w:p w:rsidR="008975FA" w:rsidRDefault="00097B3A">
      <w:pPr>
        <w:pStyle w:val="Web"/>
        <w:spacing w:before="0" w:after="0"/>
        <w:jc w:val="right"/>
      </w:pPr>
      <w:r>
        <w:rPr>
          <w:rFonts w:ascii="標楷體" w:eastAsia="標楷體" w:hAnsi="標楷體" w:cs="細明體"/>
          <w:sz w:val="20"/>
          <w:szCs w:val="20"/>
        </w:rPr>
        <w:t>102</w:t>
      </w:r>
      <w:r>
        <w:rPr>
          <w:rFonts w:ascii="標楷體" w:eastAsia="標楷體" w:hAnsi="標楷體" w:cs="細明體"/>
          <w:sz w:val="20"/>
          <w:szCs w:val="20"/>
        </w:rPr>
        <w:t>年</w:t>
      </w:r>
      <w:r>
        <w:rPr>
          <w:rFonts w:ascii="標楷體" w:eastAsia="標楷體" w:hAnsi="標楷體" w:cs="細明體"/>
          <w:sz w:val="20"/>
          <w:szCs w:val="20"/>
        </w:rPr>
        <w:t>7</w:t>
      </w:r>
      <w:r>
        <w:rPr>
          <w:rFonts w:ascii="標楷體" w:eastAsia="標楷體" w:hAnsi="標楷體" w:cs="細明體"/>
          <w:sz w:val="20"/>
          <w:szCs w:val="20"/>
        </w:rPr>
        <w:t>月</w:t>
      </w:r>
      <w:r>
        <w:rPr>
          <w:rFonts w:ascii="標楷體" w:eastAsia="標楷體" w:hAnsi="標楷體" w:cs="細明體"/>
          <w:sz w:val="20"/>
          <w:szCs w:val="20"/>
        </w:rPr>
        <w:t>23</w:t>
      </w:r>
      <w:r>
        <w:rPr>
          <w:rFonts w:ascii="標楷體" w:eastAsia="標楷體" w:hAnsi="標楷體" w:cs="細明體"/>
          <w:sz w:val="20"/>
          <w:szCs w:val="20"/>
        </w:rPr>
        <w:t>日</w:t>
      </w:r>
      <w:r>
        <w:rPr>
          <w:rFonts w:ascii="標楷體" w:eastAsia="標楷體" w:hAnsi="標楷體" w:cs="細明體"/>
          <w:sz w:val="20"/>
          <w:szCs w:val="20"/>
        </w:rPr>
        <w:t>101</w:t>
      </w:r>
      <w:r>
        <w:rPr>
          <w:rFonts w:ascii="標楷體" w:eastAsia="標楷體" w:hAnsi="標楷體" w:cs="細明體"/>
          <w:sz w:val="20"/>
          <w:szCs w:val="20"/>
        </w:rPr>
        <w:t>學年度第</w:t>
      </w:r>
      <w:r>
        <w:rPr>
          <w:rFonts w:ascii="標楷體" w:eastAsia="標楷體" w:hAnsi="標楷體" w:cs="細明體"/>
          <w:sz w:val="20"/>
          <w:szCs w:val="20"/>
        </w:rPr>
        <w:t>2</w:t>
      </w:r>
      <w:r>
        <w:rPr>
          <w:rFonts w:ascii="標楷體" w:eastAsia="標楷體" w:hAnsi="標楷體" w:cs="細明體"/>
          <w:sz w:val="20"/>
          <w:szCs w:val="20"/>
        </w:rPr>
        <w:t>學期第</w:t>
      </w:r>
      <w:r>
        <w:rPr>
          <w:rFonts w:ascii="標楷體" w:eastAsia="標楷體" w:hAnsi="標楷體" w:cs="細明體"/>
          <w:sz w:val="20"/>
          <w:szCs w:val="20"/>
        </w:rPr>
        <w:t>3</w:t>
      </w:r>
      <w:r>
        <w:rPr>
          <w:rFonts w:ascii="標楷體" w:eastAsia="標楷體" w:hAnsi="標楷體" w:cs="細明體"/>
          <w:sz w:val="20"/>
          <w:szCs w:val="20"/>
        </w:rPr>
        <w:t>次院務會議備查</w:t>
      </w:r>
    </w:p>
    <w:p w:rsidR="008975FA" w:rsidRDefault="00097B3A">
      <w:pPr>
        <w:pStyle w:val="Web"/>
        <w:spacing w:before="0" w:after="0"/>
        <w:jc w:val="right"/>
        <w:rPr>
          <w:rFonts w:ascii="標楷體" w:eastAsia="標楷體" w:hAnsi="標楷體"/>
          <w:sz w:val="20"/>
          <w:szCs w:val="20"/>
        </w:rPr>
      </w:pPr>
      <w:r>
        <w:rPr>
          <w:rFonts w:ascii="標楷體" w:eastAsia="標楷體" w:hAnsi="標楷體"/>
          <w:sz w:val="20"/>
          <w:szCs w:val="20"/>
        </w:rPr>
        <w:t>105</w:t>
      </w:r>
      <w:r>
        <w:rPr>
          <w:rFonts w:ascii="標楷體" w:eastAsia="標楷體" w:hAnsi="標楷體"/>
          <w:sz w:val="20"/>
          <w:szCs w:val="20"/>
        </w:rPr>
        <w:t>年</w:t>
      </w:r>
      <w:r>
        <w:rPr>
          <w:rFonts w:ascii="標楷體" w:eastAsia="標楷體" w:hAnsi="標楷體"/>
          <w:sz w:val="20"/>
          <w:szCs w:val="20"/>
        </w:rPr>
        <w:t>1</w:t>
      </w:r>
      <w:r>
        <w:rPr>
          <w:rFonts w:ascii="標楷體" w:eastAsia="標楷體" w:hAnsi="標楷體"/>
          <w:sz w:val="20"/>
          <w:szCs w:val="20"/>
        </w:rPr>
        <w:t>月</w:t>
      </w:r>
      <w:r>
        <w:rPr>
          <w:rFonts w:ascii="標楷體" w:eastAsia="標楷體" w:hAnsi="標楷體"/>
          <w:sz w:val="20"/>
          <w:szCs w:val="20"/>
        </w:rPr>
        <w:t>13</w:t>
      </w:r>
      <w:r>
        <w:rPr>
          <w:rFonts w:ascii="標楷體" w:eastAsia="標楷體" w:hAnsi="標楷體"/>
          <w:sz w:val="20"/>
          <w:szCs w:val="20"/>
        </w:rPr>
        <w:t>日本系</w:t>
      </w:r>
      <w:r>
        <w:rPr>
          <w:rFonts w:ascii="標楷體" w:eastAsia="標楷體" w:hAnsi="標楷體"/>
          <w:sz w:val="20"/>
          <w:szCs w:val="20"/>
        </w:rPr>
        <w:t>104</w:t>
      </w:r>
      <w:r>
        <w:rPr>
          <w:rFonts w:ascii="標楷體" w:eastAsia="標楷體" w:hAnsi="標楷體"/>
          <w:sz w:val="20"/>
          <w:szCs w:val="20"/>
        </w:rPr>
        <w:t>學年度第</w:t>
      </w:r>
      <w:r>
        <w:rPr>
          <w:rFonts w:ascii="標楷體" w:eastAsia="標楷體" w:hAnsi="標楷體"/>
          <w:sz w:val="20"/>
          <w:szCs w:val="20"/>
        </w:rPr>
        <w:t>1</w:t>
      </w:r>
      <w:r>
        <w:rPr>
          <w:rFonts w:ascii="標楷體" w:eastAsia="標楷體" w:hAnsi="標楷體"/>
          <w:sz w:val="20"/>
          <w:szCs w:val="20"/>
        </w:rPr>
        <w:t>學期第</w:t>
      </w:r>
      <w:r>
        <w:rPr>
          <w:rFonts w:ascii="標楷體" w:eastAsia="標楷體" w:hAnsi="標楷體"/>
          <w:sz w:val="20"/>
          <w:szCs w:val="20"/>
        </w:rPr>
        <w:t>3</w:t>
      </w:r>
      <w:r>
        <w:rPr>
          <w:rFonts w:ascii="標楷體" w:eastAsia="標楷體" w:hAnsi="標楷體"/>
          <w:sz w:val="20"/>
          <w:szCs w:val="20"/>
        </w:rPr>
        <w:t>次系務會議修正通過</w:t>
      </w:r>
    </w:p>
    <w:p w:rsidR="008975FA" w:rsidRDefault="00097B3A">
      <w:pPr>
        <w:pStyle w:val="Web"/>
        <w:spacing w:before="0" w:after="0"/>
        <w:jc w:val="right"/>
        <w:rPr>
          <w:rFonts w:ascii="標楷體" w:eastAsia="標楷體" w:hAnsi="標楷體" w:cs="細明體"/>
          <w:sz w:val="20"/>
          <w:szCs w:val="20"/>
        </w:rPr>
      </w:pPr>
      <w:r>
        <w:rPr>
          <w:rFonts w:ascii="標楷體" w:eastAsia="標楷體" w:hAnsi="標楷體" w:cs="細明體"/>
          <w:sz w:val="20"/>
          <w:szCs w:val="20"/>
        </w:rPr>
        <w:t>105</w:t>
      </w:r>
      <w:r>
        <w:rPr>
          <w:rFonts w:ascii="標楷體" w:eastAsia="標楷體" w:hAnsi="標楷體" w:cs="細明體"/>
          <w:sz w:val="20"/>
          <w:szCs w:val="20"/>
        </w:rPr>
        <w:t>年</w:t>
      </w:r>
      <w:r>
        <w:rPr>
          <w:rFonts w:ascii="標楷體" w:eastAsia="標楷體" w:hAnsi="標楷體" w:cs="細明體"/>
          <w:sz w:val="20"/>
          <w:szCs w:val="20"/>
        </w:rPr>
        <w:t>3</w:t>
      </w:r>
      <w:r>
        <w:rPr>
          <w:rFonts w:ascii="標楷體" w:eastAsia="標楷體" w:hAnsi="標楷體" w:cs="細明體"/>
          <w:sz w:val="20"/>
          <w:szCs w:val="20"/>
        </w:rPr>
        <w:t>月</w:t>
      </w:r>
      <w:r>
        <w:rPr>
          <w:rFonts w:ascii="標楷體" w:eastAsia="標楷體" w:hAnsi="標楷體" w:cs="細明體"/>
          <w:sz w:val="20"/>
          <w:szCs w:val="20"/>
        </w:rPr>
        <w:t>3</w:t>
      </w:r>
      <w:r>
        <w:rPr>
          <w:rFonts w:ascii="標楷體" w:eastAsia="標楷體" w:hAnsi="標楷體" w:cs="細明體"/>
          <w:sz w:val="20"/>
          <w:szCs w:val="20"/>
        </w:rPr>
        <w:t>日</w:t>
      </w:r>
      <w:r>
        <w:rPr>
          <w:rFonts w:ascii="標楷體" w:eastAsia="標楷體" w:hAnsi="標楷體" w:cs="細明體"/>
          <w:sz w:val="20"/>
          <w:szCs w:val="20"/>
        </w:rPr>
        <w:t>104</w:t>
      </w:r>
      <w:r>
        <w:rPr>
          <w:rFonts w:ascii="標楷體" w:eastAsia="標楷體" w:hAnsi="標楷體" w:cs="細明體"/>
          <w:sz w:val="20"/>
          <w:szCs w:val="20"/>
        </w:rPr>
        <w:t>學年度第</w:t>
      </w:r>
      <w:r>
        <w:rPr>
          <w:rFonts w:ascii="標楷體" w:eastAsia="標楷體" w:hAnsi="標楷體" w:cs="細明體"/>
          <w:sz w:val="20"/>
          <w:szCs w:val="20"/>
        </w:rPr>
        <w:t>2</w:t>
      </w:r>
      <w:r>
        <w:rPr>
          <w:rFonts w:ascii="標楷體" w:eastAsia="標楷體" w:hAnsi="標楷體" w:cs="細明體"/>
          <w:sz w:val="20"/>
          <w:szCs w:val="20"/>
        </w:rPr>
        <w:t>學期第</w:t>
      </w:r>
      <w:r>
        <w:rPr>
          <w:rFonts w:ascii="標楷體" w:eastAsia="標楷體" w:hAnsi="標楷體" w:cs="細明體"/>
          <w:sz w:val="20"/>
          <w:szCs w:val="20"/>
        </w:rPr>
        <w:t>1</w:t>
      </w:r>
      <w:r>
        <w:rPr>
          <w:rFonts w:ascii="標楷體" w:eastAsia="標楷體" w:hAnsi="標楷體" w:cs="細明體"/>
          <w:sz w:val="20"/>
          <w:szCs w:val="20"/>
        </w:rPr>
        <w:t>次院教師評審委員會議備查</w:t>
      </w:r>
    </w:p>
    <w:p w:rsidR="008975FA" w:rsidRDefault="00097B3A">
      <w:pPr>
        <w:pStyle w:val="Web"/>
        <w:spacing w:before="0" w:after="240"/>
        <w:jc w:val="right"/>
        <w:rPr>
          <w:rFonts w:ascii="標楷體" w:eastAsia="標楷體" w:hAnsi="標楷體"/>
          <w:color w:val="FF0000"/>
          <w:sz w:val="20"/>
          <w:szCs w:val="20"/>
          <w:u w:val="single"/>
        </w:rPr>
      </w:pPr>
      <w:r>
        <w:rPr>
          <w:rFonts w:ascii="標楷體" w:eastAsia="標楷體" w:hAnsi="標楷體"/>
          <w:color w:val="FF0000"/>
          <w:sz w:val="20"/>
          <w:szCs w:val="20"/>
          <w:u w:val="single"/>
        </w:rPr>
        <w:t>112</w:t>
      </w:r>
      <w:r>
        <w:rPr>
          <w:rFonts w:ascii="標楷體" w:eastAsia="標楷體" w:hAnsi="標楷體"/>
          <w:color w:val="FF0000"/>
          <w:sz w:val="20"/>
          <w:szCs w:val="20"/>
          <w:u w:val="single"/>
        </w:rPr>
        <w:t>年</w:t>
      </w:r>
      <w:r>
        <w:rPr>
          <w:rFonts w:ascii="標楷體" w:eastAsia="標楷體" w:hAnsi="標楷體"/>
          <w:color w:val="FF0000"/>
          <w:sz w:val="20"/>
          <w:szCs w:val="20"/>
          <w:u w:val="single"/>
        </w:rPr>
        <w:t>3</w:t>
      </w:r>
      <w:r>
        <w:rPr>
          <w:rFonts w:ascii="標楷體" w:eastAsia="標楷體" w:hAnsi="標楷體"/>
          <w:color w:val="FF0000"/>
          <w:sz w:val="20"/>
          <w:szCs w:val="20"/>
          <w:u w:val="single"/>
        </w:rPr>
        <w:t>月</w:t>
      </w:r>
      <w:r>
        <w:rPr>
          <w:rFonts w:ascii="標楷體" w:eastAsia="標楷體" w:hAnsi="標楷體"/>
          <w:color w:val="FF0000"/>
          <w:sz w:val="20"/>
          <w:szCs w:val="20"/>
          <w:u w:val="single"/>
        </w:rPr>
        <w:t>8</w:t>
      </w:r>
      <w:r>
        <w:rPr>
          <w:rFonts w:ascii="標楷體" w:eastAsia="標楷體" w:hAnsi="標楷體"/>
          <w:color w:val="FF0000"/>
          <w:sz w:val="20"/>
          <w:szCs w:val="20"/>
          <w:u w:val="single"/>
        </w:rPr>
        <w:t>日本系</w:t>
      </w:r>
      <w:r>
        <w:rPr>
          <w:rFonts w:ascii="標楷體" w:eastAsia="標楷體" w:hAnsi="標楷體"/>
          <w:color w:val="FF0000"/>
          <w:sz w:val="20"/>
          <w:szCs w:val="20"/>
          <w:u w:val="single"/>
        </w:rPr>
        <w:t>111</w:t>
      </w:r>
      <w:r>
        <w:rPr>
          <w:rFonts w:ascii="標楷體" w:eastAsia="標楷體" w:hAnsi="標楷體"/>
          <w:color w:val="FF0000"/>
          <w:sz w:val="20"/>
          <w:szCs w:val="20"/>
          <w:u w:val="single"/>
        </w:rPr>
        <w:t>學年度第</w:t>
      </w:r>
      <w:r>
        <w:rPr>
          <w:rFonts w:ascii="標楷體" w:eastAsia="標楷體" w:hAnsi="標楷體"/>
          <w:color w:val="FF0000"/>
          <w:sz w:val="20"/>
          <w:szCs w:val="20"/>
          <w:u w:val="single"/>
        </w:rPr>
        <w:t>2</w:t>
      </w:r>
      <w:r>
        <w:rPr>
          <w:rFonts w:ascii="標楷體" w:eastAsia="標楷體" w:hAnsi="標楷體"/>
          <w:color w:val="FF0000"/>
          <w:sz w:val="20"/>
          <w:szCs w:val="20"/>
          <w:u w:val="single"/>
        </w:rPr>
        <w:t>學期第</w:t>
      </w:r>
      <w:r>
        <w:rPr>
          <w:rFonts w:ascii="標楷體" w:eastAsia="標楷體" w:hAnsi="標楷體"/>
          <w:color w:val="FF0000"/>
          <w:sz w:val="20"/>
          <w:szCs w:val="20"/>
          <w:u w:val="single"/>
        </w:rPr>
        <w:t>2</w:t>
      </w:r>
      <w:r>
        <w:rPr>
          <w:rFonts w:ascii="標楷體" w:eastAsia="標楷體" w:hAnsi="標楷體"/>
          <w:color w:val="FF0000"/>
          <w:sz w:val="20"/>
          <w:szCs w:val="20"/>
          <w:u w:val="single"/>
        </w:rPr>
        <w:t>次系務會議修正通過</w:t>
      </w:r>
      <w:r>
        <w:rPr>
          <w:rFonts w:ascii="標楷體" w:eastAsia="標楷體" w:hAnsi="標楷體"/>
          <w:color w:val="FF0000"/>
          <w:sz w:val="20"/>
          <w:szCs w:val="20"/>
          <w:u w:val="single"/>
        </w:rPr>
        <w:br/>
      </w:r>
      <w:r>
        <w:rPr>
          <w:rFonts w:ascii="標楷體" w:eastAsia="標楷體" w:hAnsi="標楷體"/>
          <w:color w:val="FF0000"/>
          <w:sz w:val="20"/>
          <w:szCs w:val="20"/>
          <w:u w:val="single"/>
        </w:rPr>
        <w:t>112</w:t>
      </w:r>
      <w:r>
        <w:rPr>
          <w:rFonts w:ascii="標楷體" w:eastAsia="標楷體" w:hAnsi="標楷體"/>
          <w:color w:val="FF0000"/>
          <w:sz w:val="20"/>
          <w:szCs w:val="20"/>
          <w:u w:val="single"/>
        </w:rPr>
        <w:t>年</w:t>
      </w:r>
      <w:r>
        <w:rPr>
          <w:rFonts w:ascii="標楷體" w:eastAsia="標楷體" w:hAnsi="標楷體"/>
          <w:color w:val="FF0000"/>
          <w:sz w:val="20"/>
          <w:szCs w:val="20"/>
          <w:u w:val="single"/>
        </w:rPr>
        <w:t>5</w:t>
      </w:r>
      <w:r>
        <w:rPr>
          <w:rFonts w:ascii="標楷體" w:eastAsia="標楷體" w:hAnsi="標楷體"/>
          <w:color w:val="FF0000"/>
          <w:sz w:val="20"/>
          <w:szCs w:val="20"/>
          <w:u w:val="single"/>
        </w:rPr>
        <w:t>月</w:t>
      </w:r>
      <w:r>
        <w:rPr>
          <w:rFonts w:ascii="標楷體" w:eastAsia="標楷體" w:hAnsi="標楷體"/>
          <w:color w:val="FF0000"/>
          <w:sz w:val="20"/>
          <w:szCs w:val="20"/>
          <w:u w:val="single"/>
        </w:rPr>
        <w:t>22</w:t>
      </w:r>
      <w:r>
        <w:rPr>
          <w:rFonts w:ascii="標楷體" w:eastAsia="標楷體" w:hAnsi="標楷體"/>
          <w:color w:val="FF0000"/>
          <w:sz w:val="20"/>
          <w:szCs w:val="20"/>
          <w:u w:val="single"/>
        </w:rPr>
        <w:t>日本系</w:t>
      </w:r>
      <w:r>
        <w:rPr>
          <w:rFonts w:ascii="標楷體" w:eastAsia="標楷體" w:hAnsi="標楷體"/>
          <w:color w:val="FF0000"/>
          <w:sz w:val="20"/>
          <w:szCs w:val="20"/>
          <w:u w:val="single"/>
        </w:rPr>
        <w:t>112</w:t>
      </w:r>
      <w:r>
        <w:rPr>
          <w:rFonts w:ascii="標楷體" w:eastAsia="標楷體" w:hAnsi="標楷體"/>
          <w:color w:val="FF0000"/>
          <w:sz w:val="20"/>
          <w:szCs w:val="20"/>
          <w:u w:val="single"/>
        </w:rPr>
        <w:t>學年度第</w:t>
      </w:r>
      <w:r>
        <w:rPr>
          <w:rFonts w:ascii="標楷體" w:eastAsia="標楷體" w:hAnsi="標楷體"/>
          <w:color w:val="FF0000"/>
          <w:sz w:val="20"/>
          <w:szCs w:val="20"/>
          <w:u w:val="single"/>
        </w:rPr>
        <w:t>2</w:t>
      </w:r>
      <w:r>
        <w:rPr>
          <w:rFonts w:ascii="標楷體" w:eastAsia="標楷體" w:hAnsi="標楷體"/>
          <w:color w:val="FF0000"/>
          <w:sz w:val="20"/>
          <w:szCs w:val="20"/>
          <w:u w:val="single"/>
        </w:rPr>
        <w:t>學期第</w:t>
      </w:r>
      <w:r>
        <w:rPr>
          <w:rFonts w:ascii="標楷體" w:eastAsia="標楷體" w:hAnsi="標楷體"/>
          <w:color w:val="FF0000"/>
          <w:sz w:val="20"/>
          <w:szCs w:val="20"/>
          <w:u w:val="single"/>
        </w:rPr>
        <w:t>5</w:t>
      </w:r>
      <w:r>
        <w:rPr>
          <w:rFonts w:ascii="標楷體" w:eastAsia="標楷體" w:hAnsi="標楷體"/>
          <w:color w:val="FF0000"/>
          <w:sz w:val="20"/>
          <w:szCs w:val="20"/>
          <w:u w:val="single"/>
        </w:rPr>
        <w:t>次系務會議修正通過</w:t>
      </w:r>
    </w:p>
    <w:p w:rsidR="008975FA" w:rsidRDefault="00097B3A">
      <w:pPr>
        <w:pStyle w:val="Web"/>
        <w:spacing w:before="0" w:after="0"/>
        <w:ind w:left="563" w:hanging="563"/>
      </w:pPr>
      <w:r>
        <w:rPr>
          <w:rFonts w:ascii="標楷體" w:eastAsia="標楷體" w:hAnsi="標楷體" w:cs="Times New Roman"/>
          <w:kern w:val="3"/>
          <w:sz w:val="28"/>
          <w:szCs w:val="28"/>
        </w:rPr>
        <w:t>一、</w:t>
      </w:r>
      <w:r>
        <w:rPr>
          <w:rFonts w:ascii="標楷體" w:eastAsia="標楷體" w:hAnsi="標楷體" w:cs="Times New Roman"/>
          <w:color w:val="FF0000"/>
          <w:kern w:val="3"/>
          <w:sz w:val="28"/>
          <w:szCs w:val="28"/>
          <w:u w:val="single"/>
        </w:rPr>
        <w:t>國立臺中教育大學台灣語文學系（以下簡稱本系）為辦理教師升等，使教師有所依循，</w:t>
      </w:r>
      <w:r>
        <w:rPr>
          <w:rFonts w:ascii="標楷體" w:eastAsia="標楷體" w:hAnsi="標楷體" w:cs="Times New Roman"/>
          <w:kern w:val="3"/>
          <w:sz w:val="28"/>
          <w:szCs w:val="28"/>
        </w:rPr>
        <w:t>依據本校教師升等審議辦法</w:t>
      </w:r>
      <w:r>
        <w:rPr>
          <w:rFonts w:ascii="標楷體" w:eastAsia="標楷體" w:hAnsi="標楷體" w:cs="Times New Roman"/>
          <w:color w:val="FF0000"/>
          <w:kern w:val="3"/>
          <w:sz w:val="28"/>
          <w:szCs w:val="28"/>
          <w:u w:val="single"/>
        </w:rPr>
        <w:t>及人文學院教師</w:t>
      </w:r>
      <w:r>
        <w:rPr>
          <w:rFonts w:ascii="標楷體" w:eastAsia="標楷體" w:hAnsi="標楷體" w:cs="Times New Roman"/>
          <w:color w:val="FF0000"/>
          <w:kern w:val="3"/>
          <w:sz w:val="28"/>
          <w:szCs w:val="28"/>
          <w:u w:val="single"/>
        </w:rPr>
        <w:t>(</w:t>
      </w:r>
      <w:r>
        <w:rPr>
          <w:rFonts w:ascii="標楷體" w:eastAsia="標楷體" w:hAnsi="標楷體" w:cs="Times New Roman"/>
          <w:color w:val="FF0000"/>
          <w:kern w:val="3"/>
          <w:sz w:val="28"/>
          <w:szCs w:val="28"/>
          <w:u w:val="single"/>
        </w:rPr>
        <w:t>以下簡稱本院</w:t>
      </w:r>
      <w:r>
        <w:rPr>
          <w:rFonts w:ascii="標楷體" w:eastAsia="標楷體" w:hAnsi="標楷體" w:cs="Times New Roman"/>
          <w:color w:val="FF0000"/>
          <w:kern w:val="3"/>
          <w:sz w:val="28"/>
          <w:szCs w:val="28"/>
          <w:u w:val="single"/>
        </w:rPr>
        <w:t>)</w:t>
      </w:r>
      <w:r>
        <w:rPr>
          <w:rFonts w:ascii="標楷體" w:eastAsia="標楷體" w:hAnsi="標楷體" w:cs="Times New Roman"/>
          <w:color w:val="FF0000"/>
          <w:kern w:val="3"/>
          <w:sz w:val="28"/>
          <w:szCs w:val="28"/>
          <w:u w:val="single"/>
        </w:rPr>
        <w:t>升等審議準則</w:t>
      </w:r>
      <w:r>
        <w:rPr>
          <w:rFonts w:ascii="標楷體" w:eastAsia="標楷體" w:hAnsi="標楷體" w:cs="Times New Roman"/>
          <w:kern w:val="3"/>
          <w:sz w:val="28"/>
          <w:szCs w:val="28"/>
        </w:rPr>
        <w:t>，訂定</w:t>
      </w:r>
      <w:r>
        <w:rPr>
          <w:rFonts w:ascii="標楷體" w:eastAsia="標楷體" w:hAnsi="標楷體" w:cs="Times New Roman"/>
          <w:color w:val="FF0000"/>
          <w:kern w:val="3"/>
          <w:sz w:val="28"/>
          <w:szCs w:val="28"/>
          <w:u w:val="single"/>
        </w:rPr>
        <w:t>國立臺中教育大學台灣語文學</w:t>
      </w:r>
      <w:r>
        <w:rPr>
          <w:rFonts w:ascii="標楷體" w:eastAsia="標楷體" w:hAnsi="標楷體" w:cs="Times New Roman"/>
          <w:kern w:val="3"/>
          <w:sz w:val="28"/>
          <w:szCs w:val="28"/>
        </w:rPr>
        <w:t>系教師升等審議</w:t>
      </w:r>
      <w:r>
        <w:rPr>
          <w:rFonts w:ascii="標楷體" w:eastAsia="標楷體" w:hAnsi="標楷體" w:cs="Times New Roman"/>
          <w:bCs/>
          <w:kern w:val="3"/>
          <w:sz w:val="28"/>
          <w:szCs w:val="28"/>
        </w:rPr>
        <w:t>要點</w:t>
      </w:r>
      <w:r>
        <w:rPr>
          <w:rFonts w:ascii="標楷體" w:eastAsia="標楷體" w:hAnsi="標楷體" w:cs="Times New Roman"/>
          <w:kern w:val="3"/>
          <w:sz w:val="28"/>
          <w:szCs w:val="28"/>
        </w:rPr>
        <w:t>（以下簡稱本</w:t>
      </w:r>
      <w:r>
        <w:rPr>
          <w:rFonts w:ascii="標楷體" w:eastAsia="標楷體" w:hAnsi="標楷體" w:cs="Times New Roman"/>
          <w:bCs/>
          <w:kern w:val="3"/>
          <w:sz w:val="28"/>
          <w:szCs w:val="28"/>
        </w:rPr>
        <w:t>要點</w:t>
      </w:r>
      <w:r>
        <w:rPr>
          <w:rFonts w:ascii="標楷體" w:eastAsia="標楷體" w:hAnsi="標楷體" w:cs="Times New Roman"/>
          <w:kern w:val="3"/>
          <w:sz w:val="28"/>
          <w:szCs w:val="28"/>
        </w:rPr>
        <w:t>）。</w:t>
      </w:r>
    </w:p>
    <w:p w:rsidR="008975FA" w:rsidRDefault="00097B3A">
      <w:pPr>
        <w:pStyle w:val="Web"/>
        <w:spacing w:before="0" w:after="0"/>
        <w:ind w:left="560" w:hanging="560"/>
      </w:pPr>
      <w:r>
        <w:rPr>
          <w:rFonts w:ascii="標楷體" w:eastAsia="標楷體" w:hAnsi="標楷體" w:cs="Times New Roman"/>
          <w:color w:val="FF0000"/>
          <w:kern w:val="3"/>
          <w:sz w:val="28"/>
          <w:szCs w:val="28"/>
          <w:u w:val="single"/>
        </w:rPr>
        <w:t>二、本系教師符合本</w:t>
      </w:r>
      <w:r>
        <w:rPr>
          <w:rFonts w:ascii="標楷體" w:eastAsia="標楷體" w:hAnsi="標楷體" w:cs="Times New Roman"/>
          <w:color w:val="FF0000"/>
          <w:kern w:val="3"/>
          <w:sz w:val="28"/>
          <w:szCs w:val="28"/>
          <w:u w:val="single"/>
        </w:rPr>
        <w:t>院教師升等審議準則第二條規定之資格，始得申請升等。</w:t>
      </w:r>
    </w:p>
    <w:p w:rsidR="008975FA" w:rsidRDefault="00097B3A">
      <w:r>
        <w:rPr>
          <w:rFonts w:ascii="標楷體" w:hAnsi="標楷體"/>
          <w:color w:val="FF0000"/>
          <w:sz w:val="28"/>
          <w:szCs w:val="28"/>
          <w:u w:val="single"/>
        </w:rPr>
        <w:t>三</w:t>
      </w:r>
      <w:r>
        <w:rPr>
          <w:rFonts w:ascii="標楷體" w:hAnsi="標楷體"/>
          <w:sz w:val="28"/>
          <w:szCs w:val="28"/>
        </w:rPr>
        <w:t>、本系教師升等評審項目及標準如下：</w:t>
      </w:r>
    </w:p>
    <w:p w:rsidR="008975FA" w:rsidRDefault="00097B3A">
      <w:pPr>
        <w:ind w:left="640"/>
        <w:rPr>
          <w:rFonts w:ascii="標楷體" w:hAnsi="標楷體"/>
          <w:sz w:val="28"/>
          <w:szCs w:val="28"/>
        </w:rPr>
      </w:pPr>
      <w:r>
        <w:rPr>
          <w:rFonts w:ascii="標楷體" w:hAnsi="標楷體"/>
          <w:sz w:val="28"/>
          <w:szCs w:val="28"/>
        </w:rPr>
        <w:t>(</w:t>
      </w:r>
      <w:r>
        <w:rPr>
          <w:rFonts w:ascii="標楷體" w:hAnsi="標楷體"/>
          <w:sz w:val="28"/>
          <w:szCs w:val="28"/>
        </w:rPr>
        <w:t>一</w:t>
      </w:r>
      <w:r>
        <w:rPr>
          <w:rFonts w:ascii="標楷體" w:hAnsi="標楷體"/>
          <w:sz w:val="28"/>
          <w:szCs w:val="28"/>
        </w:rPr>
        <w:t>)</w:t>
      </w:r>
      <w:r>
        <w:rPr>
          <w:rFonts w:ascii="標楷體" w:hAnsi="標楷體"/>
          <w:sz w:val="28"/>
          <w:szCs w:val="28"/>
        </w:rPr>
        <w:t>評審項目：</w:t>
      </w:r>
    </w:p>
    <w:p w:rsidR="008975FA" w:rsidRDefault="00097B3A">
      <w:pPr>
        <w:ind w:left="1280"/>
      </w:pPr>
      <w:r>
        <w:rPr>
          <w:rFonts w:ascii="標楷體" w:hAnsi="標楷體"/>
          <w:sz w:val="28"/>
          <w:szCs w:val="28"/>
        </w:rPr>
        <w:t>1.</w:t>
      </w:r>
      <w:r>
        <w:rPr>
          <w:rFonts w:ascii="標楷體" w:hAnsi="標楷體"/>
          <w:sz w:val="28"/>
          <w:szCs w:val="28"/>
        </w:rPr>
        <w:t>研究：申請升等時現任職級七年內</w:t>
      </w:r>
      <w:r>
        <w:rPr>
          <w:rFonts w:ascii="標楷體" w:hAnsi="標楷體"/>
          <w:sz w:val="28"/>
          <w:szCs w:val="28"/>
        </w:rPr>
        <w:t>(</w:t>
      </w:r>
      <w:r>
        <w:rPr>
          <w:rFonts w:ascii="標楷體" w:hAnsi="標楷體"/>
          <w:sz w:val="28"/>
          <w:szCs w:val="28"/>
        </w:rPr>
        <w:t>如有懷孕生產之事實者，得申請延長二年</w:t>
      </w:r>
      <w:r>
        <w:rPr>
          <w:rFonts w:ascii="標楷體" w:hAnsi="標楷體"/>
          <w:sz w:val="28"/>
          <w:szCs w:val="28"/>
        </w:rPr>
        <w:t>)</w:t>
      </w:r>
      <w:r>
        <w:rPr>
          <w:rFonts w:ascii="標楷體" w:hAnsi="標楷體"/>
          <w:sz w:val="28"/>
          <w:szCs w:val="28"/>
        </w:rPr>
        <w:t>研究計畫獎助、論文發表、展覽演出及其他學術或產學成就</w:t>
      </w:r>
      <w:r>
        <w:rPr>
          <w:color w:val="FF0000"/>
          <w:sz w:val="28"/>
          <w:szCs w:val="28"/>
          <w:u w:val="single"/>
        </w:rPr>
        <w:t>，成績累計達七十分以上</w:t>
      </w:r>
      <w:r>
        <w:rPr>
          <w:rFonts w:ascii="標楷體" w:hAnsi="標楷體"/>
          <w:sz w:val="28"/>
          <w:szCs w:val="28"/>
        </w:rPr>
        <w:t>。</w:t>
      </w:r>
    </w:p>
    <w:p w:rsidR="008975FA" w:rsidRDefault="00097B3A">
      <w:pPr>
        <w:ind w:left="1280"/>
      </w:pPr>
      <w:r>
        <w:rPr>
          <w:rFonts w:ascii="標楷體" w:hAnsi="標楷體"/>
          <w:sz w:val="28"/>
          <w:szCs w:val="28"/>
        </w:rPr>
        <w:t>2.</w:t>
      </w:r>
      <w:r>
        <w:rPr>
          <w:rFonts w:ascii="標楷體" w:hAnsi="標楷體"/>
          <w:sz w:val="28"/>
          <w:szCs w:val="28"/>
        </w:rPr>
        <w:t>教學：教學年資、申請升等時現任職級七年內</w:t>
      </w:r>
      <w:r>
        <w:rPr>
          <w:rFonts w:ascii="標楷體" w:hAnsi="標楷體"/>
          <w:sz w:val="28"/>
          <w:szCs w:val="28"/>
        </w:rPr>
        <w:t>(</w:t>
      </w:r>
      <w:r>
        <w:rPr>
          <w:rFonts w:ascii="標楷體" w:hAnsi="標楷體"/>
          <w:sz w:val="28"/>
          <w:szCs w:val="28"/>
        </w:rPr>
        <w:t>如有懷孕生產之事實者，得申請延長二年</w:t>
      </w:r>
      <w:r>
        <w:rPr>
          <w:rFonts w:ascii="標楷體" w:hAnsi="標楷體"/>
          <w:sz w:val="28"/>
          <w:szCs w:val="28"/>
        </w:rPr>
        <w:t>)</w:t>
      </w:r>
      <w:r>
        <w:rPr>
          <w:rFonts w:ascii="標楷體" w:hAnsi="標楷體"/>
          <w:sz w:val="28"/>
          <w:szCs w:val="28"/>
        </w:rPr>
        <w:t>平均授課時數、優良教師</w:t>
      </w:r>
      <w:r>
        <w:rPr>
          <w:rFonts w:ascii="標楷體" w:hAnsi="標楷體"/>
          <w:sz w:val="28"/>
          <w:szCs w:val="28"/>
        </w:rPr>
        <w:t>(</w:t>
      </w:r>
      <w:r>
        <w:rPr>
          <w:rFonts w:ascii="標楷體" w:hAnsi="標楷體"/>
          <w:sz w:val="28"/>
          <w:szCs w:val="28"/>
        </w:rPr>
        <w:t>教學獎</w:t>
      </w:r>
      <w:r>
        <w:rPr>
          <w:rFonts w:ascii="標楷體" w:hAnsi="標楷體"/>
          <w:sz w:val="28"/>
          <w:szCs w:val="28"/>
        </w:rPr>
        <w:t>)</w:t>
      </w:r>
      <w:r>
        <w:rPr>
          <w:rFonts w:ascii="標楷體" w:hAnsi="標楷體"/>
          <w:sz w:val="28"/>
          <w:szCs w:val="28"/>
        </w:rPr>
        <w:t>、課程、教材、教學成效及其他教學事蹟等</w:t>
      </w:r>
      <w:r>
        <w:rPr>
          <w:color w:val="FF0000"/>
          <w:sz w:val="28"/>
          <w:szCs w:val="28"/>
          <w:u w:val="single"/>
        </w:rPr>
        <w:t>，成績累計達六十分以上</w:t>
      </w:r>
      <w:r>
        <w:rPr>
          <w:rFonts w:ascii="標楷體" w:hAnsi="標楷體"/>
          <w:sz w:val="28"/>
          <w:szCs w:val="28"/>
        </w:rPr>
        <w:t>。</w:t>
      </w:r>
    </w:p>
    <w:p w:rsidR="008975FA" w:rsidRDefault="00097B3A">
      <w:pPr>
        <w:ind w:left="1280"/>
      </w:pPr>
      <w:r>
        <w:rPr>
          <w:rFonts w:ascii="標楷體" w:hAnsi="標楷體"/>
          <w:sz w:val="28"/>
          <w:szCs w:val="28"/>
        </w:rPr>
        <w:t>3.</w:t>
      </w:r>
      <w:r>
        <w:rPr>
          <w:rFonts w:ascii="標楷體" w:hAnsi="標楷體"/>
          <w:sz w:val="28"/>
          <w:szCs w:val="28"/>
        </w:rPr>
        <w:t>輔導及服務：擔任行政職務、協助系事務推動、辦理或協助推廣教育、參與辦理各項研討會、擔任全校性委員會委員、系所導師、本校服務類或輔導類優良教師及其他服務或輔導事蹟等</w:t>
      </w:r>
      <w:r>
        <w:rPr>
          <w:color w:val="FF0000"/>
          <w:sz w:val="28"/>
          <w:szCs w:val="28"/>
          <w:u w:val="single"/>
        </w:rPr>
        <w:t>，成績累計達六十分以上</w:t>
      </w:r>
      <w:r>
        <w:rPr>
          <w:rFonts w:ascii="標楷體" w:hAnsi="標楷體"/>
          <w:sz w:val="28"/>
          <w:szCs w:val="28"/>
        </w:rPr>
        <w:t>。</w:t>
      </w:r>
    </w:p>
    <w:p w:rsidR="008975FA" w:rsidRDefault="00097B3A">
      <w:pPr>
        <w:ind w:left="1280"/>
        <w:rPr>
          <w:rFonts w:ascii="標楷體" w:hAnsi="標楷體"/>
          <w:color w:val="FF0000"/>
          <w:sz w:val="28"/>
          <w:szCs w:val="28"/>
          <w:u w:val="single"/>
        </w:rPr>
      </w:pPr>
      <w:r>
        <w:rPr>
          <w:rFonts w:ascii="標楷體" w:hAnsi="標楷體"/>
          <w:color w:val="FF0000"/>
          <w:sz w:val="28"/>
          <w:szCs w:val="28"/>
          <w:u w:val="single"/>
        </w:rPr>
        <w:t>4.</w:t>
      </w:r>
      <w:r>
        <w:rPr>
          <w:rFonts w:ascii="標楷體" w:hAnsi="標楷體"/>
          <w:color w:val="FF0000"/>
          <w:sz w:val="28"/>
          <w:szCs w:val="28"/>
          <w:u w:val="single"/>
        </w:rPr>
        <w:t>以上各項詳細評審項目與計分標準，依照本院教師升等研究、教學、輔導及服務成績評分表辦理。</w:t>
      </w:r>
    </w:p>
    <w:p w:rsidR="008975FA" w:rsidRDefault="00097B3A">
      <w:pPr>
        <w:ind w:left="640"/>
        <w:rPr>
          <w:rFonts w:ascii="標楷體" w:hAnsi="標楷體"/>
          <w:sz w:val="28"/>
          <w:szCs w:val="28"/>
        </w:rPr>
      </w:pPr>
      <w:r>
        <w:rPr>
          <w:rFonts w:ascii="標楷體" w:hAnsi="標楷體"/>
          <w:sz w:val="28"/>
          <w:szCs w:val="28"/>
        </w:rPr>
        <w:t xml:space="preserve"> (</w:t>
      </w:r>
      <w:r>
        <w:rPr>
          <w:rFonts w:ascii="標楷體" w:hAnsi="標楷體"/>
          <w:sz w:val="28"/>
          <w:szCs w:val="28"/>
        </w:rPr>
        <w:t>二</w:t>
      </w:r>
      <w:r>
        <w:rPr>
          <w:rFonts w:ascii="標楷體" w:hAnsi="標楷體"/>
          <w:sz w:val="28"/>
          <w:szCs w:val="28"/>
        </w:rPr>
        <w:t>)</w:t>
      </w:r>
      <w:r>
        <w:rPr>
          <w:rFonts w:ascii="標楷體" w:hAnsi="標楷體"/>
          <w:sz w:val="28"/>
          <w:szCs w:val="28"/>
        </w:rPr>
        <w:t>評審標準：</w:t>
      </w:r>
      <w:r>
        <w:rPr>
          <w:rFonts w:ascii="標楷體" w:hAnsi="標楷體"/>
          <w:sz w:val="28"/>
          <w:szCs w:val="28"/>
        </w:rPr>
        <w:tab/>
      </w:r>
    </w:p>
    <w:p w:rsidR="008975FA" w:rsidRDefault="00097B3A">
      <w:pPr>
        <w:ind w:left="1280"/>
      </w:pPr>
      <w:r>
        <w:rPr>
          <w:rFonts w:ascii="標楷體" w:hAnsi="標楷體"/>
          <w:bCs/>
          <w:sz w:val="28"/>
          <w:szCs w:val="28"/>
        </w:rPr>
        <w:t>1.</w:t>
      </w:r>
      <w:r>
        <w:rPr>
          <w:rFonts w:ascii="標楷體" w:hAnsi="標楷體"/>
          <w:bCs/>
          <w:sz w:val="28"/>
          <w:szCs w:val="28"/>
        </w:rPr>
        <w:t>以研究、教學、</w:t>
      </w:r>
      <w:r>
        <w:rPr>
          <w:rFonts w:ascii="標楷體" w:hAnsi="標楷體"/>
          <w:sz w:val="28"/>
          <w:szCs w:val="28"/>
        </w:rPr>
        <w:t>輔導</w:t>
      </w:r>
      <w:r>
        <w:rPr>
          <w:rFonts w:ascii="標楷體" w:hAnsi="標楷體"/>
          <w:bCs/>
          <w:sz w:val="28"/>
          <w:szCs w:val="28"/>
        </w:rPr>
        <w:t>及服務為評審</w:t>
      </w:r>
      <w:r>
        <w:rPr>
          <w:rFonts w:ascii="標楷體" w:hAnsi="標楷體"/>
          <w:bCs/>
          <w:color w:val="FF0000"/>
          <w:sz w:val="28"/>
          <w:szCs w:val="28"/>
          <w:u w:val="single"/>
        </w:rPr>
        <w:t>三項</w:t>
      </w:r>
      <w:r>
        <w:rPr>
          <w:rFonts w:ascii="標楷體" w:hAnsi="標楷體"/>
          <w:bCs/>
          <w:sz w:val="28"/>
          <w:szCs w:val="28"/>
        </w:rPr>
        <w:t>，滿分一百分，最低評估通過標準為七十分。</w:t>
      </w:r>
      <w:r>
        <w:rPr>
          <w:rFonts w:ascii="標楷體" w:hAnsi="標楷體"/>
          <w:sz w:val="28"/>
          <w:szCs w:val="28"/>
        </w:rPr>
        <w:t>升等教授者研究成績佔</w:t>
      </w:r>
      <w:r>
        <w:rPr>
          <w:color w:val="FF0000"/>
          <w:sz w:val="28"/>
          <w:szCs w:val="28"/>
          <w:u w:val="single"/>
        </w:rPr>
        <w:t>50</w:t>
      </w:r>
      <w:r>
        <w:rPr>
          <w:color w:val="FF0000"/>
          <w:sz w:val="28"/>
          <w:szCs w:val="28"/>
          <w:u w:val="single"/>
        </w:rPr>
        <w:t>％</w:t>
      </w:r>
      <w:r>
        <w:rPr>
          <w:rFonts w:ascii="標楷體" w:hAnsi="標楷體"/>
          <w:sz w:val="28"/>
          <w:szCs w:val="28"/>
        </w:rPr>
        <w:t>，教學成績佔</w:t>
      </w:r>
      <w:r>
        <w:rPr>
          <w:color w:val="FF0000"/>
          <w:sz w:val="28"/>
          <w:szCs w:val="28"/>
          <w:u w:val="single"/>
        </w:rPr>
        <w:t>30</w:t>
      </w:r>
      <w:r>
        <w:rPr>
          <w:color w:val="FF0000"/>
          <w:sz w:val="28"/>
          <w:szCs w:val="28"/>
          <w:u w:val="single"/>
        </w:rPr>
        <w:t>％</w:t>
      </w:r>
      <w:r>
        <w:rPr>
          <w:rFonts w:ascii="標楷體" w:hAnsi="標楷體"/>
          <w:sz w:val="28"/>
          <w:szCs w:val="28"/>
        </w:rPr>
        <w:t>，輔導及服務成績佔</w:t>
      </w:r>
      <w:r>
        <w:rPr>
          <w:color w:val="FF0000"/>
          <w:sz w:val="28"/>
          <w:szCs w:val="28"/>
          <w:u w:val="single"/>
        </w:rPr>
        <w:t>20</w:t>
      </w:r>
      <w:r>
        <w:rPr>
          <w:color w:val="FF0000"/>
          <w:sz w:val="28"/>
          <w:szCs w:val="28"/>
          <w:u w:val="single"/>
        </w:rPr>
        <w:t>％</w:t>
      </w:r>
      <w:r>
        <w:rPr>
          <w:rFonts w:ascii="標楷體" w:hAnsi="標楷體"/>
          <w:sz w:val="28"/>
          <w:szCs w:val="28"/>
        </w:rPr>
        <w:t>；升等副教授者研究成績佔</w:t>
      </w:r>
      <w:r>
        <w:rPr>
          <w:color w:val="FF0000"/>
          <w:sz w:val="28"/>
          <w:szCs w:val="28"/>
          <w:u w:val="single"/>
        </w:rPr>
        <w:t>45</w:t>
      </w:r>
      <w:r>
        <w:rPr>
          <w:color w:val="FF0000"/>
          <w:sz w:val="28"/>
          <w:szCs w:val="28"/>
          <w:u w:val="single"/>
        </w:rPr>
        <w:t>％</w:t>
      </w:r>
      <w:r>
        <w:rPr>
          <w:rFonts w:ascii="標楷體" w:hAnsi="標楷體"/>
          <w:sz w:val="28"/>
          <w:szCs w:val="28"/>
        </w:rPr>
        <w:t>，教學成績佔</w:t>
      </w:r>
      <w:r>
        <w:rPr>
          <w:color w:val="FF0000"/>
          <w:sz w:val="28"/>
          <w:szCs w:val="28"/>
          <w:u w:val="single"/>
        </w:rPr>
        <w:t>35</w:t>
      </w:r>
      <w:r>
        <w:rPr>
          <w:color w:val="FF0000"/>
          <w:sz w:val="28"/>
          <w:szCs w:val="28"/>
          <w:u w:val="single"/>
        </w:rPr>
        <w:t>％</w:t>
      </w:r>
      <w:r>
        <w:rPr>
          <w:rFonts w:ascii="標楷體" w:hAnsi="標楷體"/>
          <w:sz w:val="28"/>
          <w:szCs w:val="28"/>
        </w:rPr>
        <w:t>，輔導及服務成績佔</w:t>
      </w:r>
      <w:r>
        <w:rPr>
          <w:color w:val="FF0000"/>
          <w:sz w:val="28"/>
          <w:szCs w:val="28"/>
          <w:u w:val="single"/>
        </w:rPr>
        <w:t>20</w:t>
      </w:r>
      <w:r>
        <w:rPr>
          <w:color w:val="FF0000"/>
          <w:sz w:val="28"/>
          <w:szCs w:val="28"/>
          <w:u w:val="single"/>
        </w:rPr>
        <w:t>％</w:t>
      </w:r>
      <w:r>
        <w:rPr>
          <w:rFonts w:ascii="標楷體" w:hAnsi="標楷體"/>
          <w:sz w:val="28"/>
          <w:szCs w:val="28"/>
        </w:rPr>
        <w:t>；升等助理教授者研究成績佔</w:t>
      </w:r>
      <w:r>
        <w:rPr>
          <w:color w:val="FF0000"/>
          <w:sz w:val="28"/>
          <w:szCs w:val="28"/>
          <w:u w:val="single"/>
        </w:rPr>
        <w:t>40</w:t>
      </w:r>
      <w:r>
        <w:rPr>
          <w:color w:val="FF0000"/>
          <w:sz w:val="28"/>
          <w:szCs w:val="28"/>
          <w:u w:val="single"/>
        </w:rPr>
        <w:t>％</w:t>
      </w:r>
      <w:r>
        <w:rPr>
          <w:rFonts w:ascii="標楷體" w:hAnsi="標楷體"/>
          <w:sz w:val="28"/>
          <w:szCs w:val="28"/>
        </w:rPr>
        <w:t>，教學成績佔</w:t>
      </w:r>
      <w:r>
        <w:rPr>
          <w:color w:val="FF0000"/>
          <w:sz w:val="28"/>
          <w:szCs w:val="28"/>
          <w:u w:val="single"/>
        </w:rPr>
        <w:t>40</w:t>
      </w:r>
      <w:r>
        <w:rPr>
          <w:color w:val="FF0000"/>
          <w:sz w:val="28"/>
          <w:szCs w:val="28"/>
          <w:u w:val="single"/>
        </w:rPr>
        <w:t>％</w:t>
      </w:r>
      <w:r>
        <w:rPr>
          <w:rFonts w:ascii="標楷體" w:hAnsi="標楷體"/>
          <w:sz w:val="28"/>
          <w:szCs w:val="28"/>
        </w:rPr>
        <w:t>，輔導及服務成績佔</w:t>
      </w:r>
      <w:r>
        <w:rPr>
          <w:color w:val="FF0000"/>
          <w:sz w:val="28"/>
          <w:szCs w:val="28"/>
          <w:u w:val="single"/>
        </w:rPr>
        <w:t>20</w:t>
      </w:r>
      <w:r>
        <w:rPr>
          <w:color w:val="FF0000"/>
          <w:sz w:val="28"/>
          <w:szCs w:val="28"/>
          <w:u w:val="single"/>
        </w:rPr>
        <w:t>％</w:t>
      </w:r>
      <w:r>
        <w:rPr>
          <w:rFonts w:ascii="標楷體" w:hAnsi="標楷體"/>
          <w:sz w:val="28"/>
          <w:szCs w:val="28"/>
        </w:rPr>
        <w:t>。</w:t>
      </w:r>
    </w:p>
    <w:p w:rsidR="008975FA" w:rsidRDefault="00097B3A">
      <w:pPr>
        <w:ind w:left="1280"/>
      </w:pPr>
      <w:r>
        <w:rPr>
          <w:rFonts w:ascii="標楷體" w:hAnsi="標楷體"/>
          <w:bCs/>
          <w:sz w:val="28"/>
          <w:szCs w:val="28"/>
        </w:rPr>
        <w:t xml:space="preserve">2. </w:t>
      </w:r>
      <w:r>
        <w:rPr>
          <w:rFonts w:ascii="標楷體" w:hAnsi="標楷體"/>
          <w:bCs/>
          <w:sz w:val="28"/>
          <w:szCs w:val="28"/>
        </w:rPr>
        <w:t>研究、教學、</w:t>
      </w:r>
      <w:r>
        <w:rPr>
          <w:rFonts w:ascii="標楷體" w:hAnsi="標楷體"/>
          <w:sz w:val="28"/>
          <w:szCs w:val="28"/>
        </w:rPr>
        <w:t>輔導</w:t>
      </w:r>
      <w:r>
        <w:rPr>
          <w:rFonts w:ascii="標楷體" w:hAnsi="標楷體"/>
          <w:bCs/>
          <w:sz w:val="28"/>
          <w:szCs w:val="28"/>
        </w:rPr>
        <w:t>及服務各項目分別以滿分一百分評估，</w:t>
      </w:r>
      <w:r>
        <w:rPr>
          <w:rFonts w:ascii="標楷體" w:hAnsi="標楷體"/>
          <w:color w:val="FF0000"/>
          <w:sz w:val="28"/>
          <w:szCs w:val="28"/>
          <w:u w:val="single"/>
        </w:rPr>
        <w:t>單項評估分數低於六十分時（研究七十分）</w:t>
      </w:r>
      <w:r>
        <w:rPr>
          <w:rFonts w:ascii="標楷體" w:hAnsi="標楷體"/>
          <w:bCs/>
          <w:sz w:val="28"/>
          <w:szCs w:val="28"/>
        </w:rPr>
        <w:t>，視同總評不通過。</w:t>
      </w:r>
      <w:r>
        <w:rPr>
          <w:rFonts w:ascii="標楷體" w:hAnsi="標楷體"/>
          <w:bCs/>
          <w:color w:val="FF0000"/>
          <w:sz w:val="28"/>
          <w:szCs w:val="28"/>
          <w:u w:val="single"/>
        </w:rPr>
        <w:t>（見本院教師升等審議門檻審查表）</w:t>
      </w:r>
    </w:p>
    <w:p w:rsidR="008975FA" w:rsidRDefault="00097B3A">
      <w:pPr>
        <w:ind w:left="560" w:hanging="560"/>
      </w:pPr>
      <w:r>
        <w:rPr>
          <w:rFonts w:ascii="標楷體" w:hAnsi="標楷體"/>
          <w:bCs/>
          <w:color w:val="FF0000"/>
          <w:sz w:val="28"/>
          <w:szCs w:val="28"/>
          <w:u w:val="single"/>
        </w:rPr>
        <w:lastRenderedPageBreak/>
        <w:t>四、本系教師申請升等之程序與規定如下：</w:t>
      </w:r>
    </w:p>
    <w:p w:rsidR="008975FA" w:rsidRDefault="00097B3A">
      <w:pPr>
        <w:ind w:left="851" w:hanging="566"/>
      </w:pPr>
      <w:r>
        <w:rPr>
          <w:rFonts w:ascii="標楷體" w:hAnsi="標楷體"/>
          <w:bCs/>
          <w:color w:val="FF0000"/>
          <w:sz w:val="28"/>
          <w:szCs w:val="28"/>
          <w:u w:val="single"/>
        </w:rPr>
        <w:t>(</w:t>
      </w:r>
      <w:r>
        <w:rPr>
          <w:rFonts w:ascii="標楷體" w:hAnsi="標楷體"/>
          <w:bCs/>
          <w:color w:val="FF0000"/>
          <w:sz w:val="28"/>
          <w:szCs w:val="28"/>
          <w:u w:val="single"/>
        </w:rPr>
        <w:t>一</w:t>
      </w:r>
      <w:r>
        <w:rPr>
          <w:rFonts w:ascii="標楷體" w:hAnsi="標楷體"/>
          <w:bCs/>
          <w:color w:val="FF0000"/>
          <w:sz w:val="28"/>
          <w:szCs w:val="28"/>
          <w:u w:val="single"/>
        </w:rPr>
        <w:t>)</w:t>
      </w:r>
      <w:r>
        <w:rPr>
          <w:rFonts w:ascii="標楷體" w:hAnsi="標楷體"/>
          <w:bCs/>
          <w:sz w:val="28"/>
          <w:szCs w:val="28"/>
        </w:rPr>
        <w:t>申請升等，教師應於</w:t>
      </w:r>
      <w:r>
        <w:rPr>
          <w:rFonts w:ascii="標楷體" w:hAnsi="標楷體"/>
          <w:bCs/>
          <w:color w:val="FF0000"/>
          <w:sz w:val="28"/>
          <w:szCs w:val="28"/>
          <w:u w:val="single"/>
        </w:rPr>
        <w:t>八月一日至八月二十日或二月一日至二月二十日前</w:t>
      </w:r>
      <w:r>
        <w:rPr>
          <w:rFonts w:ascii="標楷體" w:hAnsi="標楷體"/>
          <w:bCs/>
          <w:sz w:val="28"/>
          <w:szCs w:val="28"/>
        </w:rPr>
        <w:t>填具本校教師升等申請表，經本系、人文學院及人事室就升等資格檢核通過後，</w:t>
      </w:r>
      <w:r>
        <w:rPr>
          <w:bCs/>
          <w:color w:val="FF0000"/>
          <w:sz w:val="28"/>
          <w:szCs w:val="28"/>
          <w:u w:val="single"/>
        </w:rPr>
        <w:t>於九月十日或三月十日前</w:t>
      </w:r>
      <w:r>
        <w:rPr>
          <w:rFonts w:ascii="標楷體" w:hAnsi="標楷體"/>
          <w:bCs/>
          <w:sz w:val="28"/>
          <w:szCs w:val="28"/>
        </w:rPr>
        <w:t>依其申請升等類型，填具本校教師升等案件檢核表、教師升等成績檢核表</w:t>
      </w:r>
      <w:r>
        <w:rPr>
          <w:rFonts w:ascii="標楷體" w:hAnsi="標楷體"/>
          <w:bCs/>
          <w:sz w:val="28"/>
          <w:szCs w:val="28"/>
        </w:rPr>
        <w:t>並檢具</w:t>
      </w:r>
      <w:r>
        <w:rPr>
          <w:bCs/>
          <w:color w:val="FF0000"/>
          <w:sz w:val="28"/>
          <w:szCs w:val="28"/>
          <w:u w:val="single"/>
        </w:rPr>
        <w:t>升等專門著作一式五份及升等門檻</w:t>
      </w:r>
      <w:r>
        <w:rPr>
          <w:rFonts w:ascii="標楷體" w:hAnsi="標楷體"/>
          <w:bCs/>
          <w:sz w:val="28"/>
          <w:szCs w:val="28"/>
        </w:rPr>
        <w:t>相關資料</w:t>
      </w:r>
      <w:r>
        <w:rPr>
          <w:rFonts w:ascii="標楷體" w:hAnsi="標楷體"/>
          <w:bCs/>
          <w:color w:val="FF0000"/>
          <w:sz w:val="28"/>
          <w:szCs w:val="28"/>
          <w:u w:val="single"/>
        </w:rPr>
        <w:t>，送本系教師評審委員會辦理審議。</w:t>
      </w:r>
      <w:r>
        <w:rPr>
          <w:bCs/>
          <w:color w:val="FF0000"/>
          <w:sz w:val="28"/>
          <w:szCs w:val="28"/>
          <w:u w:val="single"/>
        </w:rPr>
        <w:t>上述升等資料送出後，除審查需要外，不受理補件。</w:t>
      </w:r>
    </w:p>
    <w:p w:rsidR="008975FA" w:rsidRDefault="00097B3A">
      <w:pPr>
        <w:ind w:left="851" w:hanging="566"/>
      </w:pPr>
      <w:r>
        <w:rPr>
          <w:rFonts w:ascii="標楷體" w:hAnsi="標楷體"/>
          <w:bCs/>
          <w:color w:val="FF0000"/>
          <w:sz w:val="28"/>
          <w:szCs w:val="28"/>
          <w:u w:val="single"/>
        </w:rPr>
        <w:t>(</w:t>
      </w:r>
      <w:r>
        <w:rPr>
          <w:rFonts w:ascii="標楷體" w:hAnsi="標楷體"/>
          <w:bCs/>
          <w:color w:val="FF0000"/>
          <w:sz w:val="28"/>
          <w:szCs w:val="28"/>
          <w:u w:val="single"/>
        </w:rPr>
        <w:t>二</w:t>
      </w:r>
      <w:r>
        <w:rPr>
          <w:rFonts w:ascii="標楷體" w:hAnsi="標楷體"/>
          <w:bCs/>
          <w:color w:val="FF0000"/>
          <w:sz w:val="28"/>
          <w:szCs w:val="28"/>
          <w:u w:val="single"/>
        </w:rPr>
        <w:t>)</w:t>
      </w:r>
      <w:r>
        <w:rPr>
          <w:rFonts w:ascii="標楷體" w:hAnsi="標楷體"/>
          <w:bCs/>
          <w:color w:val="FF0000"/>
          <w:sz w:val="28"/>
          <w:szCs w:val="28"/>
          <w:u w:val="single"/>
        </w:rPr>
        <w:t>教師升等著作資料於本系教師評審委員會審議前，應公開展示一週以上並通知本系教評會委員得先行閱覽。</w:t>
      </w:r>
      <w:r>
        <w:rPr>
          <w:rFonts w:ascii="標楷體" w:hAnsi="標楷體"/>
          <w:bCs/>
          <w:noProof/>
          <w:sz w:val="28"/>
          <w:szCs w:val="28"/>
        </w:rPr>
        <mc:AlternateContent>
          <mc:Choice Requires="wps">
            <w:drawing>
              <wp:anchor distT="0" distB="0" distL="114300" distR="114300" simplePos="0" relativeHeight="251661312" behindDoc="0" locked="0" layoutInCell="1" allowOverlap="1">
                <wp:simplePos x="0" y="0"/>
                <wp:positionH relativeFrom="column">
                  <wp:posOffset>8991596</wp:posOffset>
                </wp:positionH>
                <wp:positionV relativeFrom="paragraph">
                  <wp:posOffset>1028700</wp:posOffset>
                </wp:positionV>
                <wp:extent cx="609603" cy="2057400"/>
                <wp:effectExtent l="0" t="0" r="0" b="0"/>
                <wp:wrapNone/>
                <wp:docPr id="1" name="文字方塊 2"/>
                <wp:cNvGraphicFramePr/>
                <a:graphic xmlns:a="http://schemas.openxmlformats.org/drawingml/2006/main">
                  <a:graphicData uri="http://schemas.microsoft.com/office/word/2010/wordprocessingShape">
                    <wps:wsp>
                      <wps:cNvSpPr txBox="1"/>
                      <wps:spPr>
                        <a:xfrm>
                          <a:off x="0" y="0"/>
                          <a:ext cx="609603" cy="2057400"/>
                        </a:xfrm>
                        <a:prstGeom prst="rect">
                          <a:avLst/>
                        </a:prstGeom>
                        <a:noFill/>
                        <a:ln>
                          <a:noFill/>
                          <a:prstDash/>
                        </a:ln>
                      </wps:spPr>
                      <wps:txbx>
                        <w:txbxContent>
                          <w:p w:rsidR="008975FA" w:rsidRDefault="00097B3A">
                            <w:r>
                              <w:t xml:space="preserve">　－</w:t>
                            </w:r>
                            <w:r>
                              <w:t>44</w:t>
                            </w:r>
                            <w:r>
                              <w:t>－</w:t>
                            </w:r>
                          </w:p>
                        </w:txbxContent>
                      </wps:txbx>
                      <wps:bodyPr vert="horz" wrap="square" lIns="91440" tIns="45720" rIns="91440" bIns="4572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708pt;margin-top:81pt;width:48pt;height:162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AwE5wEAAJUDAAAOAAAAZHJzL2Uyb0RvYy54bWysU12O0zAQfkfiDpbfadLQ7e5GTVdAtQhp&#10;BUiFA7iO3ViKPcZ2m5QLIHGA5ZkDcAAOtHuOHTuhWy1viBfH8+OZ7/tmsrjqdUv2wnkFpqLTSU6J&#10;MBxqZbYV/fzp+sUFJT4wU7MWjKjoQXh6tXz+bNHZUhTQQFsLR7CI8WVnK9qEYMss87wRmvkJWGEw&#10;KMFpFtB026x2rMPqus2KPJ9nHbjaOuDCe/SuhiBdpvpSCh4+SOlFIG1FEVtIp0vnJp7ZcsHKrWO2&#10;UXyEwf4BhWbKYNNjqRULjOyc+quUVtyBBxkmHHQGUiouEgdkM82fsFk3zIrEBcXx9iiT/39l+fv9&#10;R0dUjbOjxDCNI7q//Xb368f97e+7n99JERXqrC8xcW0xNfSvoY/Zo9+jMxLvpdPxi5QIxlHrw1Ff&#10;0QfC0TnPL+f5S0o4hor87HyWpwFkj6+t8+GtAE3ipaIO55dkZfsbH7Ajpv5Jic0MXKu2TTNszRNH&#10;zFsx3wyvYjiLPAa88Rb6TT+S2EB9QG64x9i0AfeVkg53oqL+y445QUn7zqDol9PZLC5RMmZn5wUa&#10;7jSyOY0ww7FURQMlw/VNGBYPJ29ZuDFry6NEA+5XuwBSJY4R3IBoxIyzT9THPY3LdWqnrMe/afkA&#10;AAD//wMAUEsDBBQABgAIAAAAIQCKo7v03AAAAA0BAAAPAAAAZHJzL2Rvd25yZXYueG1sTE/LTsMw&#10;ELwj8Q/WIvVG7VRpVEKcqiriWkR5SNzceJtExOsodpvw92xOcJvRjOZRbCfXiSsOofWkIVkqEEiV&#10;ty3VGt7fnu83IEI0ZE3nCTX8YIBteXtTmNz6kV7xeoy14BAKudHQxNjnUoaqQWfC0vdIrJ394Exk&#10;OtTSDmbkcNfJlVKZdKYlbmhMj/sGq+/jxWn4OJy/PlP1Uj+5dT/6SUlyD1Lrxd20ewQRcYp/Zpjn&#10;83QoedPJX8gG0TFPk4zPREbZisFsWSczOmlIN6zJspD/X5S/AAAA//8DAFBLAQItABQABgAIAAAA&#10;IQC2gziS/gAAAOEBAAATAAAAAAAAAAAAAAAAAAAAAABbQ29udGVudF9UeXBlc10ueG1sUEsBAi0A&#10;FAAGAAgAAAAhADj9If/WAAAAlAEAAAsAAAAAAAAAAAAAAAAALwEAAF9yZWxzLy5yZWxzUEsBAi0A&#10;FAAGAAgAAAAhADLMDATnAQAAlQMAAA4AAAAAAAAAAAAAAAAALgIAAGRycy9lMm9Eb2MueG1sUEsB&#10;Ai0AFAAGAAgAAAAhAIqju/TcAAAADQEAAA8AAAAAAAAAAAAAAAAAQQQAAGRycy9kb3ducmV2Lnht&#10;bFBLBQYAAAAABAAEAPMAAABKBQAAAAA=&#10;" filled="f" stroked="f">
                <v:textbox>
                  <w:txbxContent>
                    <w:p w:rsidR="008975FA" w:rsidRDefault="00097B3A">
                      <w:r>
                        <w:t xml:space="preserve">　－</w:t>
                      </w:r>
                      <w:r>
                        <w:t>44</w:t>
                      </w:r>
                      <w:r>
                        <w:t>－</w:t>
                      </w:r>
                    </w:p>
                  </w:txbxContent>
                </v:textbox>
              </v:shape>
            </w:pict>
          </mc:Fallback>
        </mc:AlternateContent>
      </w:r>
    </w:p>
    <w:p w:rsidR="008975FA" w:rsidRDefault="00097B3A">
      <w:pPr>
        <w:ind w:left="851" w:hanging="566"/>
      </w:pPr>
      <w:r>
        <w:rPr>
          <w:rFonts w:ascii="標楷體" w:hAnsi="標楷體"/>
          <w:bCs/>
          <w:color w:val="FF0000"/>
          <w:sz w:val="28"/>
          <w:szCs w:val="28"/>
          <w:u w:val="single"/>
        </w:rPr>
        <w:t>(</w:t>
      </w:r>
      <w:r>
        <w:rPr>
          <w:rFonts w:ascii="標楷體" w:hAnsi="標楷體"/>
          <w:bCs/>
          <w:color w:val="FF0000"/>
          <w:sz w:val="28"/>
          <w:szCs w:val="28"/>
          <w:u w:val="single"/>
        </w:rPr>
        <w:t>三</w:t>
      </w:r>
      <w:r>
        <w:rPr>
          <w:rFonts w:ascii="標楷體" w:hAnsi="標楷體"/>
          <w:bCs/>
          <w:color w:val="FF0000"/>
          <w:sz w:val="28"/>
          <w:szCs w:val="28"/>
          <w:u w:val="single"/>
        </w:rPr>
        <w:t>)</w:t>
      </w:r>
      <w:r>
        <w:rPr>
          <w:rFonts w:ascii="標楷體" w:hAnsi="標楷體"/>
          <w:bCs/>
          <w:sz w:val="28"/>
          <w:szCs w:val="28"/>
        </w:rPr>
        <w:t>本系應</w:t>
      </w:r>
      <w:r>
        <w:rPr>
          <w:rFonts w:ascii="標楷體" w:hAnsi="標楷體"/>
          <w:bCs/>
          <w:color w:val="FF0000"/>
          <w:sz w:val="28"/>
          <w:szCs w:val="28"/>
          <w:u w:val="single"/>
        </w:rPr>
        <w:t>於十月一日或四月一日前，召開教評會</w:t>
      </w:r>
      <w:r>
        <w:rPr>
          <w:rFonts w:ascii="標楷體" w:hAnsi="標楷體"/>
          <w:bCs/>
          <w:sz w:val="28"/>
          <w:szCs w:val="28"/>
        </w:rPr>
        <w:t>審議申請升等教師是否符合本系升等門檻，經審議</w:t>
      </w:r>
      <w:r>
        <w:rPr>
          <w:rFonts w:ascii="標楷體" w:hAnsi="標楷體"/>
          <w:bCs/>
          <w:color w:val="FF0000"/>
          <w:sz w:val="28"/>
          <w:szCs w:val="28"/>
          <w:u w:val="single"/>
        </w:rPr>
        <w:t>及格</w:t>
      </w:r>
      <w:r>
        <w:rPr>
          <w:rFonts w:ascii="標楷體" w:hAnsi="標楷體"/>
          <w:bCs/>
          <w:sz w:val="28"/>
          <w:szCs w:val="28"/>
        </w:rPr>
        <w:t>者</w:t>
      </w:r>
      <w:r>
        <w:rPr>
          <w:rFonts w:ascii="標楷體" w:hAnsi="標楷體"/>
          <w:bCs/>
          <w:color w:val="FF0000"/>
          <w:sz w:val="28"/>
          <w:szCs w:val="28"/>
          <w:u w:val="single"/>
        </w:rPr>
        <w:t>送院級教評會審議。</w:t>
      </w:r>
    </w:p>
    <w:p w:rsidR="008975FA" w:rsidRDefault="00097B3A">
      <w:pPr>
        <w:ind w:left="851" w:hanging="566"/>
        <w:rPr>
          <w:rFonts w:ascii="標楷體" w:hAnsi="標楷體"/>
          <w:bCs/>
          <w:color w:val="FF0000"/>
          <w:sz w:val="28"/>
          <w:szCs w:val="28"/>
          <w:u w:val="single"/>
        </w:rPr>
      </w:pPr>
      <w:r>
        <w:rPr>
          <w:rFonts w:ascii="標楷體" w:hAnsi="標楷體"/>
          <w:bCs/>
          <w:color w:val="FF0000"/>
          <w:sz w:val="28"/>
          <w:szCs w:val="28"/>
          <w:u w:val="single"/>
        </w:rPr>
        <w:t>(</w:t>
      </w:r>
      <w:r>
        <w:rPr>
          <w:rFonts w:ascii="標楷體" w:hAnsi="標楷體"/>
          <w:bCs/>
          <w:color w:val="FF0000"/>
          <w:sz w:val="28"/>
          <w:szCs w:val="28"/>
          <w:u w:val="single"/>
        </w:rPr>
        <w:t>四</w:t>
      </w:r>
      <w:r>
        <w:rPr>
          <w:rFonts w:ascii="標楷體" w:hAnsi="標楷體"/>
          <w:bCs/>
          <w:color w:val="FF0000"/>
          <w:sz w:val="28"/>
          <w:szCs w:val="28"/>
          <w:u w:val="single"/>
        </w:rPr>
        <w:t>)</w:t>
      </w:r>
      <w:r>
        <w:rPr>
          <w:rFonts w:ascii="標楷體" w:hAnsi="標楷體"/>
          <w:bCs/>
          <w:color w:val="FF0000"/>
          <w:sz w:val="28"/>
          <w:szCs w:val="28"/>
          <w:u w:val="single"/>
        </w:rPr>
        <w:t>申請升等教師於本系教評會辦理審議前，得敘明理由提出著作審查三人以內之迴避名單。未於期限內提出者，不得補提。</w:t>
      </w:r>
    </w:p>
    <w:p w:rsidR="008975FA" w:rsidRDefault="00097B3A">
      <w:pPr>
        <w:ind w:left="851" w:hanging="566"/>
        <w:rPr>
          <w:rFonts w:ascii="標楷體" w:hAnsi="標楷體"/>
          <w:bCs/>
          <w:color w:val="FF0000"/>
          <w:sz w:val="28"/>
          <w:szCs w:val="28"/>
          <w:u w:val="single"/>
        </w:rPr>
      </w:pPr>
      <w:r>
        <w:rPr>
          <w:rFonts w:ascii="標楷體" w:hAnsi="標楷體"/>
          <w:bCs/>
          <w:color w:val="FF0000"/>
          <w:sz w:val="28"/>
          <w:szCs w:val="28"/>
          <w:u w:val="single"/>
        </w:rPr>
        <w:t>(</w:t>
      </w:r>
      <w:r>
        <w:rPr>
          <w:rFonts w:ascii="標楷體" w:hAnsi="標楷體"/>
          <w:bCs/>
          <w:color w:val="FF0000"/>
          <w:sz w:val="28"/>
          <w:szCs w:val="28"/>
          <w:u w:val="single"/>
        </w:rPr>
        <w:t>五</w:t>
      </w:r>
      <w:r>
        <w:rPr>
          <w:rFonts w:ascii="標楷體" w:hAnsi="標楷體"/>
          <w:bCs/>
          <w:color w:val="FF0000"/>
          <w:sz w:val="28"/>
          <w:szCs w:val="28"/>
          <w:u w:val="single"/>
        </w:rPr>
        <w:t>)</w:t>
      </w:r>
      <w:r>
        <w:rPr>
          <w:rFonts w:ascii="標楷體" w:hAnsi="標楷體"/>
          <w:bCs/>
          <w:color w:val="FF0000"/>
          <w:sz w:val="28"/>
          <w:szCs w:val="28"/>
          <w:u w:val="single"/>
        </w:rPr>
        <w:t>未通過申請升等教師不得於原提申請升等日起一年內再度提出升等申請。</w:t>
      </w:r>
    </w:p>
    <w:p w:rsidR="008975FA" w:rsidRDefault="00097B3A">
      <w:pPr>
        <w:ind w:left="569" w:hanging="566"/>
      </w:pPr>
      <w:r>
        <w:rPr>
          <w:rFonts w:ascii="標楷體" w:hAnsi="標楷體"/>
          <w:color w:val="FF0000"/>
          <w:sz w:val="28"/>
          <w:szCs w:val="28"/>
          <w:u w:val="single"/>
        </w:rPr>
        <w:t>五、本要點未規定事項，悉依本校教師升等審議辦法及本院教師升等審議準則規定辦理。</w:t>
      </w:r>
    </w:p>
    <w:p w:rsidR="008975FA" w:rsidRDefault="00097B3A">
      <w:pPr>
        <w:ind w:left="566" w:hanging="566"/>
      </w:pPr>
      <w:r>
        <w:rPr>
          <w:rFonts w:ascii="標楷體" w:hAnsi="標楷體"/>
          <w:color w:val="FF0000"/>
          <w:sz w:val="28"/>
          <w:szCs w:val="28"/>
          <w:u w:val="single"/>
        </w:rPr>
        <w:t>六、</w:t>
      </w:r>
      <w:r>
        <w:rPr>
          <w:rFonts w:ascii="標楷體" w:hAnsi="標楷體"/>
          <w:sz w:val="28"/>
          <w:szCs w:val="28"/>
        </w:rPr>
        <w:t>本要點經系務會議通過，送</w:t>
      </w:r>
      <w:r>
        <w:rPr>
          <w:rFonts w:ascii="標楷體" w:hAnsi="標楷體"/>
          <w:color w:val="FF0000"/>
          <w:sz w:val="28"/>
          <w:szCs w:val="28"/>
          <w:u w:val="single"/>
        </w:rPr>
        <w:t>本</w:t>
      </w:r>
      <w:r>
        <w:rPr>
          <w:rFonts w:ascii="標楷體" w:hAnsi="標楷體"/>
          <w:sz w:val="28"/>
          <w:szCs w:val="28"/>
        </w:rPr>
        <w:t>院教師評審委員會備查，經校長核定後施行，修正時亦同。</w:t>
      </w:r>
    </w:p>
    <w:p w:rsidR="008975FA" w:rsidRDefault="008975FA">
      <w:pPr>
        <w:spacing w:line="480" w:lineRule="exact"/>
        <w:rPr>
          <w:rFonts w:ascii="標楷體" w:hAnsi="標楷體"/>
          <w:sz w:val="28"/>
          <w:szCs w:val="28"/>
        </w:rPr>
      </w:pPr>
    </w:p>
    <w:p w:rsidR="008975FA" w:rsidRDefault="00097B3A">
      <w:pPr>
        <w:jc w:val="both"/>
        <w:rPr>
          <w:rFonts w:ascii="標楷體" w:hAnsi="標楷體"/>
          <w:color w:val="FF0000"/>
          <w:kern w:val="0"/>
          <w:sz w:val="20"/>
          <w:szCs w:val="20"/>
        </w:rPr>
      </w:pPr>
      <w:r>
        <w:rPr>
          <w:rFonts w:ascii="標楷體" w:hAnsi="標楷體"/>
          <w:color w:val="FF0000"/>
          <w:kern w:val="0"/>
          <w:sz w:val="20"/>
          <w:szCs w:val="20"/>
        </w:rPr>
        <w:t>本要點權責單位為台灣語文學系，</w:t>
      </w:r>
    </w:p>
    <w:p w:rsidR="008975FA" w:rsidRDefault="00097B3A">
      <w:pPr>
        <w:jc w:val="both"/>
        <w:rPr>
          <w:rFonts w:ascii="標楷體" w:hAnsi="標楷體"/>
          <w:color w:val="FF0000"/>
          <w:kern w:val="0"/>
          <w:sz w:val="20"/>
          <w:szCs w:val="20"/>
        </w:rPr>
      </w:pPr>
      <w:r>
        <w:rPr>
          <w:rFonts w:ascii="標楷體" w:hAnsi="標楷體"/>
          <w:color w:val="FF0000"/>
          <w:kern w:val="0"/>
          <w:sz w:val="20"/>
          <w:szCs w:val="20"/>
        </w:rPr>
        <w:t>於</w:t>
      </w:r>
      <w:r>
        <w:rPr>
          <w:rFonts w:ascii="標楷體" w:hAnsi="標楷體"/>
          <w:color w:val="FF0000"/>
          <w:kern w:val="0"/>
          <w:sz w:val="20"/>
          <w:szCs w:val="20"/>
        </w:rPr>
        <w:t>113</w:t>
      </w:r>
      <w:r>
        <w:rPr>
          <w:rFonts w:ascii="標楷體" w:hAnsi="標楷體"/>
          <w:color w:val="FF0000"/>
          <w:kern w:val="0"/>
          <w:sz w:val="20"/>
          <w:szCs w:val="20"/>
        </w:rPr>
        <w:t>年</w:t>
      </w:r>
      <w:r>
        <w:rPr>
          <w:rFonts w:ascii="標楷體" w:hAnsi="標楷體"/>
          <w:color w:val="FF0000"/>
          <w:kern w:val="0"/>
          <w:sz w:val="20"/>
          <w:szCs w:val="20"/>
        </w:rPr>
        <w:t>6</w:t>
      </w:r>
      <w:r>
        <w:rPr>
          <w:rFonts w:ascii="標楷體" w:hAnsi="標楷體"/>
          <w:color w:val="FF0000"/>
          <w:kern w:val="0"/>
          <w:sz w:val="20"/>
          <w:szCs w:val="20"/>
        </w:rPr>
        <w:t>月</w:t>
      </w:r>
      <w:r>
        <w:rPr>
          <w:rFonts w:ascii="標楷體" w:hAnsi="標楷體"/>
          <w:color w:val="FF0000"/>
          <w:kern w:val="0"/>
          <w:sz w:val="20"/>
          <w:szCs w:val="20"/>
        </w:rPr>
        <w:t>13</w:t>
      </w:r>
      <w:r>
        <w:rPr>
          <w:rFonts w:ascii="標楷體" w:hAnsi="標楷體"/>
          <w:color w:val="FF0000"/>
          <w:kern w:val="0"/>
          <w:sz w:val="20"/>
          <w:szCs w:val="20"/>
        </w:rPr>
        <w:t>日院教師評審委員會議通過，</w:t>
      </w:r>
    </w:p>
    <w:p w:rsidR="008975FA" w:rsidRDefault="00097B3A">
      <w:pPr>
        <w:jc w:val="both"/>
        <w:rPr>
          <w:rFonts w:ascii="標楷體" w:hAnsi="標楷體"/>
          <w:color w:val="FF0000"/>
          <w:kern w:val="0"/>
          <w:sz w:val="20"/>
          <w:szCs w:val="20"/>
        </w:rPr>
      </w:pPr>
      <w:r>
        <w:rPr>
          <w:rFonts w:ascii="標楷體" w:hAnsi="標楷體"/>
          <w:color w:val="FF0000"/>
          <w:kern w:val="0"/>
          <w:sz w:val="20"/>
          <w:szCs w:val="20"/>
        </w:rPr>
        <w:t>113</w:t>
      </w:r>
      <w:r>
        <w:rPr>
          <w:rFonts w:ascii="標楷體" w:hAnsi="標楷體"/>
          <w:color w:val="FF0000"/>
          <w:kern w:val="0"/>
          <w:sz w:val="20"/>
          <w:szCs w:val="20"/>
        </w:rPr>
        <w:t>年</w:t>
      </w:r>
      <w:r>
        <w:rPr>
          <w:rFonts w:ascii="標楷體" w:hAnsi="標楷體"/>
          <w:color w:val="FF0000"/>
          <w:kern w:val="0"/>
          <w:sz w:val="20"/>
          <w:szCs w:val="20"/>
        </w:rPr>
        <w:t>6</w:t>
      </w:r>
      <w:r>
        <w:rPr>
          <w:rFonts w:ascii="標楷體" w:hAnsi="標楷體"/>
          <w:color w:val="FF0000"/>
          <w:kern w:val="0"/>
          <w:sz w:val="20"/>
          <w:szCs w:val="20"/>
        </w:rPr>
        <w:t>月</w:t>
      </w:r>
      <w:r>
        <w:rPr>
          <w:rFonts w:ascii="標楷體" w:hAnsi="標楷體"/>
          <w:color w:val="FF0000"/>
          <w:kern w:val="0"/>
          <w:sz w:val="20"/>
          <w:szCs w:val="20"/>
        </w:rPr>
        <w:t>21</w:t>
      </w:r>
      <w:r>
        <w:rPr>
          <w:rFonts w:ascii="標楷體" w:hAnsi="標楷體"/>
          <w:color w:val="FF0000"/>
          <w:kern w:val="0"/>
          <w:sz w:val="20"/>
          <w:szCs w:val="20"/>
        </w:rPr>
        <w:t>日校長核准，</w:t>
      </w:r>
      <w:r>
        <w:rPr>
          <w:rFonts w:ascii="標楷體" w:hAnsi="標楷體"/>
          <w:color w:val="FF0000"/>
          <w:kern w:val="0"/>
          <w:sz w:val="20"/>
          <w:szCs w:val="20"/>
        </w:rPr>
        <w:t>113</w:t>
      </w:r>
      <w:r>
        <w:rPr>
          <w:rFonts w:ascii="標楷體" w:hAnsi="標楷體"/>
          <w:color w:val="FF0000"/>
          <w:kern w:val="0"/>
          <w:sz w:val="20"/>
          <w:szCs w:val="20"/>
        </w:rPr>
        <w:t>年</w:t>
      </w:r>
      <w:r>
        <w:rPr>
          <w:rFonts w:ascii="標楷體" w:hAnsi="標楷體"/>
          <w:color w:val="FF0000"/>
          <w:kern w:val="0"/>
          <w:sz w:val="20"/>
          <w:szCs w:val="20"/>
        </w:rPr>
        <w:t>6</w:t>
      </w:r>
      <w:r>
        <w:rPr>
          <w:rFonts w:ascii="標楷體" w:hAnsi="標楷體"/>
          <w:color w:val="FF0000"/>
          <w:kern w:val="0"/>
          <w:sz w:val="20"/>
          <w:szCs w:val="20"/>
        </w:rPr>
        <w:t>月</w:t>
      </w:r>
      <w:r>
        <w:rPr>
          <w:rFonts w:ascii="標楷體" w:hAnsi="標楷體"/>
          <w:color w:val="FF0000"/>
          <w:kern w:val="0"/>
          <w:sz w:val="20"/>
          <w:szCs w:val="20"/>
        </w:rPr>
        <w:t>25</w:t>
      </w:r>
      <w:r>
        <w:rPr>
          <w:rFonts w:ascii="標楷體" w:hAnsi="標楷體"/>
          <w:color w:val="FF0000"/>
          <w:kern w:val="0"/>
          <w:sz w:val="20"/>
          <w:szCs w:val="20"/>
        </w:rPr>
        <w:t>日公告。</w:t>
      </w:r>
    </w:p>
    <w:p w:rsidR="008975FA" w:rsidRDefault="008975FA">
      <w:pPr>
        <w:spacing w:line="480" w:lineRule="exact"/>
        <w:rPr>
          <w:rFonts w:ascii="標楷體" w:hAnsi="標楷體"/>
          <w:sz w:val="28"/>
          <w:szCs w:val="28"/>
        </w:rPr>
      </w:pPr>
    </w:p>
    <w:p w:rsidR="008975FA" w:rsidRDefault="008975FA">
      <w:pPr>
        <w:pageBreakBefore/>
        <w:widowControl/>
        <w:rPr>
          <w:rFonts w:ascii="標楷體" w:hAnsi="標楷體"/>
          <w:b/>
          <w:bCs/>
          <w:sz w:val="28"/>
          <w:szCs w:val="28"/>
        </w:rPr>
      </w:pPr>
    </w:p>
    <w:p w:rsidR="008975FA" w:rsidRDefault="00097B3A">
      <w:pPr>
        <w:spacing w:line="460" w:lineRule="exact"/>
        <w:ind w:left="841" w:hanging="860"/>
        <w:jc w:val="center"/>
      </w:pPr>
      <w:r>
        <w:rPr>
          <w:rFonts w:ascii="標楷體" w:hAnsi="標楷體"/>
          <w:b/>
          <w:bCs/>
          <w:sz w:val="28"/>
          <w:szCs w:val="28"/>
        </w:rPr>
        <w:t>國立臺中教育大學台灣語文學系教師升等審議要點</w:t>
      </w:r>
      <w:r>
        <w:rPr>
          <w:rFonts w:ascii="標楷體" w:hAnsi="標楷體" w:cs="標楷體"/>
          <w:b/>
          <w:color w:val="FF0000"/>
          <w:sz w:val="28"/>
          <w:szCs w:val="28"/>
        </w:rPr>
        <w:t>修正草案對照表</w:t>
      </w:r>
    </w:p>
    <w:tbl>
      <w:tblPr>
        <w:tblW w:w="9493" w:type="dxa"/>
        <w:tblCellMar>
          <w:left w:w="10" w:type="dxa"/>
          <w:right w:w="10" w:type="dxa"/>
        </w:tblCellMar>
        <w:tblLook w:val="0000" w:firstRow="0" w:lastRow="0" w:firstColumn="0" w:lastColumn="0" w:noHBand="0" w:noVBand="0"/>
      </w:tblPr>
      <w:tblGrid>
        <w:gridCol w:w="3681"/>
        <w:gridCol w:w="3685"/>
        <w:gridCol w:w="2127"/>
      </w:tblGrid>
      <w:tr w:rsidR="008975FA">
        <w:tblPrEx>
          <w:tblCellMar>
            <w:top w:w="0" w:type="dxa"/>
            <w:bottom w:w="0" w:type="dxa"/>
          </w:tblCellMar>
        </w:tblPrEx>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75FA" w:rsidRDefault="00097B3A">
            <w:pPr>
              <w:spacing w:line="480" w:lineRule="exact"/>
              <w:jc w:val="center"/>
              <w:rPr>
                <w:rFonts w:ascii="標楷體" w:hAnsi="標楷體"/>
                <w:sz w:val="24"/>
              </w:rPr>
            </w:pPr>
            <w:r>
              <w:rPr>
                <w:rFonts w:ascii="標楷體" w:hAnsi="標楷體"/>
                <w:sz w:val="24"/>
              </w:rPr>
              <w:t>修正條文</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75FA" w:rsidRDefault="00097B3A">
            <w:pPr>
              <w:spacing w:line="480" w:lineRule="exact"/>
              <w:jc w:val="center"/>
              <w:rPr>
                <w:rFonts w:ascii="標楷體" w:hAnsi="標楷體"/>
                <w:sz w:val="24"/>
              </w:rPr>
            </w:pPr>
            <w:r>
              <w:rPr>
                <w:rFonts w:ascii="標楷體" w:hAnsi="標楷體"/>
                <w:sz w:val="24"/>
              </w:rPr>
              <w:t>現行條文</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75FA" w:rsidRDefault="00097B3A">
            <w:pPr>
              <w:spacing w:line="480" w:lineRule="exact"/>
              <w:jc w:val="center"/>
              <w:rPr>
                <w:rFonts w:ascii="標楷體" w:hAnsi="標楷體"/>
                <w:sz w:val="24"/>
              </w:rPr>
            </w:pPr>
            <w:r>
              <w:rPr>
                <w:rFonts w:ascii="標楷體" w:hAnsi="標楷體"/>
                <w:sz w:val="24"/>
              </w:rPr>
              <w:t>修正說明</w:t>
            </w:r>
          </w:p>
        </w:tc>
      </w:tr>
      <w:tr w:rsidR="008975FA">
        <w:tblPrEx>
          <w:tblCellMar>
            <w:top w:w="0" w:type="dxa"/>
            <w:bottom w:w="0" w:type="dxa"/>
          </w:tblCellMar>
        </w:tblPrEx>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75FA" w:rsidRDefault="00097B3A">
            <w:pPr>
              <w:pStyle w:val="Web"/>
              <w:spacing w:before="0" w:after="0" w:line="0" w:lineRule="atLeast"/>
              <w:ind w:left="360" w:hanging="360"/>
            </w:pPr>
            <w:r>
              <w:rPr>
                <w:rFonts w:ascii="標楷體" w:eastAsia="標楷體" w:hAnsi="標楷體" w:cs="Times New Roman"/>
                <w:kern w:val="3"/>
              </w:rPr>
              <w:t>一、</w:t>
            </w:r>
            <w:r>
              <w:rPr>
                <w:rFonts w:ascii="標楷體" w:eastAsia="標楷體" w:hAnsi="標楷體" w:cs="Times New Roman"/>
                <w:color w:val="FF0000"/>
                <w:kern w:val="3"/>
                <w:u w:val="single"/>
              </w:rPr>
              <w:t>國立臺中教育大學台灣語文學系（以下簡稱本系）為辦理教師升等，使教師有所依循，</w:t>
            </w:r>
            <w:r>
              <w:rPr>
                <w:rFonts w:ascii="標楷體" w:eastAsia="標楷體" w:hAnsi="標楷體" w:cs="Times New Roman"/>
                <w:kern w:val="3"/>
              </w:rPr>
              <w:t>依據本校教師升等審議辦法</w:t>
            </w:r>
            <w:r>
              <w:rPr>
                <w:rFonts w:ascii="標楷體" w:eastAsia="標楷體" w:hAnsi="標楷體" w:cs="Times New Roman"/>
                <w:color w:val="FF0000"/>
                <w:kern w:val="3"/>
                <w:u w:val="single"/>
              </w:rPr>
              <w:t>及人文學院教師</w:t>
            </w:r>
            <w:r>
              <w:rPr>
                <w:rFonts w:ascii="標楷體" w:eastAsia="標楷體" w:hAnsi="標楷體" w:cs="Times New Roman"/>
                <w:color w:val="FF0000"/>
                <w:kern w:val="3"/>
                <w:u w:val="single"/>
              </w:rPr>
              <w:t>(</w:t>
            </w:r>
            <w:r>
              <w:rPr>
                <w:rFonts w:ascii="標楷體" w:eastAsia="標楷體" w:hAnsi="標楷體" w:cs="Times New Roman"/>
                <w:color w:val="FF0000"/>
                <w:kern w:val="3"/>
                <w:u w:val="single"/>
              </w:rPr>
              <w:t>以下簡稱本院</w:t>
            </w:r>
            <w:r>
              <w:rPr>
                <w:rFonts w:ascii="標楷體" w:eastAsia="標楷體" w:hAnsi="標楷體" w:cs="Times New Roman"/>
                <w:color w:val="FF0000"/>
                <w:kern w:val="3"/>
                <w:u w:val="single"/>
              </w:rPr>
              <w:t>)</w:t>
            </w:r>
            <w:r>
              <w:rPr>
                <w:rFonts w:ascii="標楷體" w:eastAsia="標楷體" w:hAnsi="標楷體" w:cs="Times New Roman"/>
                <w:color w:val="FF0000"/>
                <w:kern w:val="3"/>
                <w:u w:val="single"/>
              </w:rPr>
              <w:t>升等審議準則</w:t>
            </w:r>
            <w:r>
              <w:rPr>
                <w:rFonts w:ascii="標楷體" w:eastAsia="標楷體" w:hAnsi="標楷體" w:cs="Times New Roman"/>
                <w:kern w:val="3"/>
              </w:rPr>
              <w:t>，訂定</w:t>
            </w:r>
            <w:r>
              <w:rPr>
                <w:rFonts w:ascii="標楷體" w:eastAsia="標楷體" w:hAnsi="標楷體" w:cs="Times New Roman"/>
                <w:color w:val="FF0000"/>
                <w:kern w:val="3"/>
                <w:u w:val="single"/>
              </w:rPr>
              <w:t>國立臺中教育大學台灣語文學</w:t>
            </w:r>
            <w:r>
              <w:rPr>
                <w:rFonts w:ascii="標楷體" w:eastAsia="標楷體" w:hAnsi="標楷體" w:cs="Times New Roman"/>
                <w:kern w:val="3"/>
              </w:rPr>
              <w:t>系教師升等審議</w:t>
            </w:r>
            <w:r>
              <w:rPr>
                <w:rFonts w:ascii="標楷體" w:eastAsia="標楷體" w:hAnsi="標楷體" w:cs="Times New Roman"/>
                <w:bCs/>
                <w:kern w:val="3"/>
              </w:rPr>
              <w:t>要點</w:t>
            </w:r>
            <w:r>
              <w:rPr>
                <w:rFonts w:ascii="標楷體" w:eastAsia="標楷體" w:hAnsi="標楷體" w:cs="Times New Roman"/>
                <w:kern w:val="3"/>
              </w:rPr>
              <w:t>（以下簡稱本</w:t>
            </w:r>
            <w:r>
              <w:rPr>
                <w:rFonts w:ascii="標楷體" w:eastAsia="標楷體" w:hAnsi="標楷體" w:cs="Times New Roman"/>
                <w:bCs/>
                <w:kern w:val="3"/>
              </w:rPr>
              <w:t>要點</w:t>
            </w:r>
            <w:r>
              <w:rPr>
                <w:rFonts w:ascii="標楷體" w:eastAsia="標楷體" w:hAnsi="標楷體" w:cs="Times New Roman"/>
                <w:kern w:val="3"/>
              </w:rPr>
              <w:t>）。</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75FA" w:rsidRDefault="00097B3A">
            <w:pPr>
              <w:pStyle w:val="Web"/>
              <w:spacing w:before="0" w:after="0" w:line="0" w:lineRule="atLeast"/>
              <w:ind w:left="360" w:hanging="360"/>
            </w:pPr>
            <w:r>
              <w:rPr>
                <w:rFonts w:ascii="標楷體" w:eastAsia="標楷體" w:hAnsi="標楷體" w:cs="Times New Roman"/>
                <w:kern w:val="3"/>
              </w:rPr>
              <w:t>一、依據本校教師升等審議辦法</w:t>
            </w:r>
            <w:r>
              <w:rPr>
                <w:rFonts w:ascii="標楷體" w:eastAsia="標楷體" w:hAnsi="標楷體" w:cs="Times New Roman"/>
                <w:kern w:val="3"/>
                <w:u w:val="single"/>
              </w:rPr>
              <w:t>第十條規定</w:t>
            </w:r>
            <w:r>
              <w:rPr>
                <w:rFonts w:ascii="標楷體" w:eastAsia="標楷體" w:hAnsi="標楷體" w:cs="Times New Roman"/>
                <w:kern w:val="3"/>
              </w:rPr>
              <w:t>，訂定本系教師升等審議</w:t>
            </w:r>
            <w:r>
              <w:rPr>
                <w:rFonts w:ascii="標楷體" w:eastAsia="標楷體" w:hAnsi="標楷體" w:cs="Times New Roman"/>
                <w:bCs/>
                <w:kern w:val="3"/>
              </w:rPr>
              <w:t>要點</w:t>
            </w:r>
            <w:r>
              <w:rPr>
                <w:rFonts w:ascii="標楷體" w:eastAsia="標楷體" w:hAnsi="標楷體" w:cs="Times New Roman"/>
                <w:kern w:val="3"/>
              </w:rPr>
              <w:t>（以下簡稱本</w:t>
            </w:r>
            <w:r>
              <w:rPr>
                <w:rFonts w:ascii="標楷體" w:eastAsia="標楷體" w:hAnsi="標楷體" w:cs="Times New Roman"/>
                <w:bCs/>
                <w:kern w:val="3"/>
              </w:rPr>
              <w:t>要點</w:t>
            </w:r>
            <w:r>
              <w:rPr>
                <w:rFonts w:ascii="標楷體" w:eastAsia="標楷體" w:hAnsi="標楷體" w:cs="Times New Roman"/>
                <w:kern w:val="3"/>
              </w:rPr>
              <w:t>）</w:t>
            </w:r>
            <w:r>
              <w:rPr>
                <w:rFonts w:ascii="標楷體" w:eastAsia="標楷體" w:hAnsi="標楷體" w:cs="Times New Roman"/>
                <w:color w:val="FF0000"/>
                <w:kern w:val="3"/>
                <w:u w:val="single"/>
              </w:rPr>
              <w:t>；本系教師升等除遵照教育部、本校教師升等審議辦法及本校人文學院教師升等審議準則有關法令規定外，悉依本</w:t>
            </w:r>
            <w:r>
              <w:rPr>
                <w:rFonts w:ascii="標楷體" w:eastAsia="標楷體" w:hAnsi="標楷體" w:cs="Times New Roman"/>
                <w:bCs/>
                <w:color w:val="FF0000"/>
                <w:kern w:val="3"/>
                <w:u w:val="single"/>
              </w:rPr>
              <w:t>要點</w:t>
            </w:r>
            <w:r>
              <w:rPr>
                <w:rFonts w:ascii="標楷體" w:eastAsia="標楷體" w:hAnsi="標楷體" w:cs="Times New Roman"/>
                <w:color w:val="FF0000"/>
                <w:kern w:val="3"/>
                <w:u w:val="single"/>
              </w:rPr>
              <w:t>辦理</w:t>
            </w:r>
            <w:r>
              <w:rPr>
                <w:rFonts w:ascii="標楷體" w:eastAsia="標楷體" w:hAnsi="標楷體" w:cs="Times New Roman"/>
                <w:kern w:val="3"/>
              </w:rPr>
              <w:t>。</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75FA" w:rsidRDefault="00097B3A">
            <w:pPr>
              <w:spacing w:line="0" w:lineRule="atLeast"/>
              <w:ind w:left="313" w:hanging="425"/>
              <w:rPr>
                <w:rFonts w:ascii="標楷體" w:hAnsi="標楷體"/>
                <w:sz w:val="24"/>
              </w:rPr>
            </w:pPr>
            <w:r>
              <w:rPr>
                <w:rFonts w:ascii="標楷體" w:hAnsi="標楷體"/>
                <w:sz w:val="24"/>
              </w:rPr>
              <w:t>一、配合校、院級法規修正。</w:t>
            </w:r>
          </w:p>
          <w:p w:rsidR="008975FA" w:rsidRDefault="00097B3A">
            <w:pPr>
              <w:spacing w:line="0" w:lineRule="atLeast"/>
              <w:ind w:left="313" w:hanging="425"/>
              <w:rPr>
                <w:rFonts w:ascii="標楷體" w:hAnsi="標楷體"/>
                <w:sz w:val="24"/>
              </w:rPr>
            </w:pPr>
            <w:r>
              <w:rPr>
                <w:rFonts w:ascii="標楷體" w:hAnsi="標楷體"/>
                <w:sz w:val="24"/>
              </w:rPr>
              <w:t>二、刪除補充說明。</w:t>
            </w:r>
          </w:p>
        </w:tc>
      </w:tr>
      <w:tr w:rsidR="008975FA">
        <w:tblPrEx>
          <w:tblCellMar>
            <w:top w:w="0" w:type="dxa"/>
            <w:bottom w:w="0" w:type="dxa"/>
          </w:tblCellMar>
        </w:tblPrEx>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75FA" w:rsidRDefault="00097B3A">
            <w:pPr>
              <w:pStyle w:val="Web"/>
              <w:spacing w:before="0" w:after="0" w:line="0" w:lineRule="atLeast"/>
              <w:ind w:left="360" w:hanging="360"/>
            </w:pPr>
            <w:r>
              <w:rPr>
                <w:rFonts w:ascii="標楷體" w:eastAsia="標楷體" w:hAnsi="標楷體" w:cs="Times New Roman"/>
                <w:color w:val="FF0000"/>
                <w:kern w:val="3"/>
                <w:szCs w:val="22"/>
                <w:u w:val="single"/>
              </w:rPr>
              <w:t>二、本系教師符合本</w:t>
            </w:r>
            <w:r>
              <w:rPr>
                <w:rFonts w:ascii="標楷體" w:eastAsia="標楷體" w:hAnsi="標楷體" w:cs="Times New Roman"/>
                <w:color w:val="FF0000"/>
                <w:kern w:val="3"/>
                <w:szCs w:val="22"/>
                <w:u w:val="single"/>
              </w:rPr>
              <w:t>院教師升等審議準則第二條規定之資格，始得申請升等。</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75FA" w:rsidRDefault="00097B3A">
            <w:pPr>
              <w:pStyle w:val="Web"/>
              <w:spacing w:line="0" w:lineRule="atLeast"/>
              <w:ind w:left="360" w:hanging="360"/>
              <w:rPr>
                <w:rFonts w:ascii="標楷體" w:eastAsia="標楷體" w:hAnsi="標楷體" w:cs="Times New Roman"/>
                <w:color w:val="FF0000"/>
                <w:kern w:val="3"/>
                <w:szCs w:val="22"/>
                <w:u w:val="single"/>
              </w:rPr>
            </w:pPr>
            <w:r>
              <w:rPr>
                <w:rFonts w:ascii="標楷體" w:eastAsia="標楷體" w:hAnsi="標楷體" w:cs="Times New Roman"/>
                <w:color w:val="FF0000"/>
                <w:kern w:val="3"/>
                <w:szCs w:val="22"/>
                <w:u w:val="single"/>
              </w:rPr>
              <w:t>二、教師評審委員會對於教師升等案件之審議，應就其研究、教學、輔導及服務等成果辦理評審，其中對於專門著作（包含學位論文）之審查，應尊重專家之意見，除能提出具有專業學術依據之具體理由，動搖專業學者審查之可信度與正確性，否則即應尊重其判斷，教評會僅得針對名額、年資及教學服務之表現予以評量。</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75FA" w:rsidRDefault="00097B3A">
            <w:pPr>
              <w:spacing w:line="0" w:lineRule="atLeast"/>
              <w:ind w:hanging="1"/>
            </w:pPr>
            <w:r>
              <w:rPr>
                <w:rFonts w:ascii="標楷體" w:hAnsi="標楷體"/>
                <w:sz w:val="24"/>
              </w:rPr>
              <w:t>回歸校、院級法規，刪除說明。</w:t>
            </w:r>
          </w:p>
        </w:tc>
      </w:tr>
      <w:tr w:rsidR="008975FA">
        <w:tblPrEx>
          <w:tblCellMar>
            <w:top w:w="0" w:type="dxa"/>
            <w:bottom w:w="0" w:type="dxa"/>
          </w:tblCellMar>
        </w:tblPrEx>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75FA" w:rsidRDefault="008975FA">
            <w:pPr>
              <w:pStyle w:val="Web"/>
              <w:spacing w:before="0" w:after="0" w:line="0" w:lineRule="atLeast"/>
              <w:ind w:left="360" w:hanging="360"/>
              <w:rPr>
                <w:rFonts w:ascii="標楷體" w:eastAsia="標楷體" w:hAnsi="標楷體" w:cs="Times New Roman"/>
                <w:kern w:val="3"/>
                <w:szCs w:val="22"/>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75FA" w:rsidRDefault="00097B3A">
            <w:pPr>
              <w:pStyle w:val="Web"/>
              <w:spacing w:before="0" w:after="0" w:line="0" w:lineRule="atLeast"/>
              <w:ind w:left="360" w:hanging="360"/>
              <w:rPr>
                <w:rFonts w:ascii="標楷體" w:eastAsia="標楷體" w:hAnsi="標楷體" w:cs="Times New Roman"/>
                <w:color w:val="FF0000"/>
                <w:kern w:val="3"/>
                <w:szCs w:val="22"/>
                <w:u w:val="single"/>
              </w:rPr>
            </w:pPr>
            <w:r>
              <w:rPr>
                <w:rFonts w:ascii="標楷體" w:eastAsia="標楷體" w:hAnsi="標楷體" w:cs="Times New Roman"/>
                <w:color w:val="FF0000"/>
                <w:kern w:val="3"/>
                <w:szCs w:val="22"/>
                <w:u w:val="single"/>
              </w:rPr>
              <w:t>三、本校教師須在本校服務滿二年且同一職級之升等服務年資滿三年後，始得申請升等。年資採計依本校相關規定辦理。</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75FA" w:rsidRDefault="00097B3A">
            <w:pPr>
              <w:spacing w:line="0" w:lineRule="atLeast"/>
              <w:ind w:hanging="2"/>
            </w:pPr>
            <w:r>
              <w:rPr>
                <w:rFonts w:ascii="標楷體" w:hAnsi="標楷體"/>
                <w:sz w:val="24"/>
              </w:rPr>
              <w:t>回歸校、院級法規。</w:t>
            </w:r>
          </w:p>
        </w:tc>
      </w:tr>
      <w:tr w:rsidR="008975FA">
        <w:tblPrEx>
          <w:tblCellMar>
            <w:top w:w="0" w:type="dxa"/>
            <w:bottom w:w="0" w:type="dxa"/>
          </w:tblCellMar>
        </w:tblPrEx>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75FA" w:rsidRDefault="00097B3A">
            <w:pPr>
              <w:pStyle w:val="Web"/>
              <w:spacing w:before="0" w:after="0" w:line="0" w:lineRule="atLeast"/>
              <w:ind w:left="360" w:hanging="360"/>
            </w:pPr>
            <w:r>
              <w:rPr>
                <w:rFonts w:ascii="標楷體" w:eastAsia="標楷體" w:hAnsi="標楷體" w:cs="Times New Roman"/>
                <w:color w:val="FF0000"/>
                <w:kern w:val="3"/>
                <w:szCs w:val="22"/>
                <w:u w:val="single"/>
              </w:rPr>
              <w:t>三</w:t>
            </w:r>
            <w:r>
              <w:rPr>
                <w:rFonts w:ascii="標楷體" w:eastAsia="標楷體" w:hAnsi="標楷體" w:cs="Times New Roman"/>
                <w:kern w:val="3"/>
                <w:szCs w:val="22"/>
              </w:rPr>
              <w:t>、本系教師升等評審項目及標準如下：</w:t>
            </w:r>
          </w:p>
          <w:p w:rsidR="008975FA" w:rsidRDefault="00097B3A">
            <w:pPr>
              <w:pStyle w:val="Web"/>
              <w:spacing w:before="0" w:after="0" w:line="0" w:lineRule="atLeast"/>
              <w:ind w:left="360" w:hanging="360"/>
              <w:rPr>
                <w:rFonts w:ascii="標楷體" w:eastAsia="標楷體" w:hAnsi="標楷體" w:cs="Times New Roman"/>
                <w:kern w:val="3"/>
                <w:szCs w:val="22"/>
              </w:rPr>
            </w:pPr>
            <w:r>
              <w:rPr>
                <w:rFonts w:ascii="標楷體" w:eastAsia="標楷體" w:hAnsi="標楷體" w:cs="Times New Roman"/>
                <w:kern w:val="3"/>
                <w:szCs w:val="22"/>
              </w:rPr>
              <w:t>(</w:t>
            </w:r>
            <w:r>
              <w:rPr>
                <w:rFonts w:ascii="標楷體" w:eastAsia="標楷體" w:hAnsi="標楷體" w:cs="Times New Roman"/>
                <w:kern w:val="3"/>
                <w:szCs w:val="22"/>
              </w:rPr>
              <w:t>一</w:t>
            </w:r>
            <w:r>
              <w:rPr>
                <w:rFonts w:ascii="標楷體" w:eastAsia="標楷體" w:hAnsi="標楷體" w:cs="Times New Roman"/>
                <w:kern w:val="3"/>
                <w:szCs w:val="22"/>
              </w:rPr>
              <w:t>)</w:t>
            </w:r>
            <w:r>
              <w:rPr>
                <w:rFonts w:ascii="標楷體" w:eastAsia="標楷體" w:hAnsi="標楷體" w:cs="Times New Roman"/>
                <w:kern w:val="3"/>
                <w:szCs w:val="22"/>
              </w:rPr>
              <w:t>評審項目：</w:t>
            </w:r>
          </w:p>
          <w:p w:rsidR="008975FA" w:rsidRDefault="00097B3A">
            <w:pPr>
              <w:pStyle w:val="Web"/>
              <w:spacing w:before="0" w:after="0" w:line="0" w:lineRule="atLeast"/>
              <w:ind w:left="360" w:hanging="360"/>
            </w:pPr>
            <w:r>
              <w:rPr>
                <w:rFonts w:ascii="標楷體" w:eastAsia="標楷體" w:hAnsi="標楷體" w:cs="Times New Roman"/>
                <w:kern w:val="3"/>
                <w:szCs w:val="22"/>
              </w:rPr>
              <w:t>1.</w:t>
            </w:r>
            <w:r>
              <w:rPr>
                <w:rFonts w:ascii="標楷體" w:eastAsia="標楷體" w:hAnsi="標楷體" w:cs="Times New Roman"/>
                <w:kern w:val="3"/>
                <w:szCs w:val="22"/>
              </w:rPr>
              <w:t>研究：申請升等時現任職級七年內</w:t>
            </w:r>
            <w:r>
              <w:rPr>
                <w:rFonts w:ascii="標楷體" w:eastAsia="標楷體" w:hAnsi="標楷體" w:cs="Times New Roman"/>
                <w:kern w:val="3"/>
                <w:szCs w:val="22"/>
              </w:rPr>
              <w:t>(</w:t>
            </w:r>
            <w:r>
              <w:rPr>
                <w:rFonts w:ascii="標楷體" w:eastAsia="標楷體" w:hAnsi="標楷體" w:cs="Times New Roman"/>
                <w:kern w:val="3"/>
                <w:szCs w:val="22"/>
              </w:rPr>
              <w:t>如有懷孕生產之事實者，得申請延長二年</w:t>
            </w:r>
            <w:r>
              <w:rPr>
                <w:rFonts w:ascii="標楷體" w:eastAsia="標楷體" w:hAnsi="標楷體" w:cs="Times New Roman"/>
                <w:kern w:val="3"/>
                <w:szCs w:val="22"/>
              </w:rPr>
              <w:t>)</w:t>
            </w:r>
            <w:r>
              <w:rPr>
                <w:rFonts w:ascii="標楷體" w:eastAsia="標楷體" w:hAnsi="標楷體" w:cs="Times New Roman"/>
                <w:kern w:val="3"/>
                <w:szCs w:val="22"/>
              </w:rPr>
              <w:t>研究計畫獎助、論文發表、展覽演出及其他學術或產學成就</w:t>
            </w:r>
            <w:r>
              <w:rPr>
                <w:rFonts w:eastAsia="標楷體"/>
                <w:color w:val="FF0000"/>
                <w:u w:val="single"/>
              </w:rPr>
              <w:t>，成績累計達七十分以上</w:t>
            </w:r>
            <w:r>
              <w:rPr>
                <w:rFonts w:ascii="標楷體" w:eastAsia="標楷體" w:hAnsi="標楷體" w:cs="Times New Roman"/>
                <w:kern w:val="3"/>
                <w:szCs w:val="22"/>
              </w:rPr>
              <w:t>。</w:t>
            </w:r>
          </w:p>
          <w:p w:rsidR="008975FA" w:rsidRDefault="00097B3A">
            <w:pPr>
              <w:pStyle w:val="Web"/>
              <w:spacing w:before="0" w:after="0" w:line="0" w:lineRule="atLeast"/>
              <w:ind w:left="360" w:hanging="360"/>
            </w:pPr>
            <w:r>
              <w:rPr>
                <w:rFonts w:ascii="標楷體" w:eastAsia="標楷體" w:hAnsi="標楷體" w:cs="Times New Roman"/>
                <w:kern w:val="3"/>
                <w:szCs w:val="22"/>
              </w:rPr>
              <w:t>2.</w:t>
            </w:r>
            <w:r>
              <w:rPr>
                <w:rFonts w:ascii="標楷體" w:eastAsia="標楷體" w:hAnsi="標楷體" w:cs="Times New Roman"/>
                <w:kern w:val="3"/>
                <w:szCs w:val="22"/>
              </w:rPr>
              <w:t>教學：教學年資、申請升等時現任職級七年內</w:t>
            </w:r>
            <w:r>
              <w:rPr>
                <w:rFonts w:ascii="標楷體" w:eastAsia="標楷體" w:hAnsi="標楷體" w:cs="Times New Roman"/>
                <w:kern w:val="3"/>
                <w:szCs w:val="22"/>
              </w:rPr>
              <w:t>(</w:t>
            </w:r>
            <w:r>
              <w:rPr>
                <w:rFonts w:ascii="標楷體" w:eastAsia="標楷體" w:hAnsi="標楷體" w:cs="Times New Roman"/>
                <w:kern w:val="3"/>
                <w:szCs w:val="22"/>
              </w:rPr>
              <w:t>如有懷孕生產之事實者，得申請延長二年</w:t>
            </w:r>
            <w:r>
              <w:rPr>
                <w:rFonts w:ascii="標楷體" w:eastAsia="標楷體" w:hAnsi="標楷體" w:cs="Times New Roman"/>
                <w:kern w:val="3"/>
                <w:szCs w:val="22"/>
              </w:rPr>
              <w:t>)</w:t>
            </w:r>
            <w:r>
              <w:rPr>
                <w:rFonts w:ascii="標楷體" w:eastAsia="標楷體" w:hAnsi="標楷體" w:cs="Times New Roman"/>
                <w:kern w:val="3"/>
                <w:szCs w:val="22"/>
              </w:rPr>
              <w:t>平均授課時數、優良教師</w:t>
            </w:r>
            <w:r>
              <w:rPr>
                <w:rFonts w:ascii="標楷體" w:eastAsia="標楷體" w:hAnsi="標楷體" w:cs="Times New Roman"/>
                <w:kern w:val="3"/>
                <w:szCs w:val="22"/>
              </w:rPr>
              <w:lastRenderedPageBreak/>
              <w:t>(</w:t>
            </w:r>
            <w:r>
              <w:rPr>
                <w:rFonts w:ascii="標楷體" w:eastAsia="標楷體" w:hAnsi="標楷體" w:cs="Times New Roman"/>
                <w:kern w:val="3"/>
                <w:szCs w:val="22"/>
              </w:rPr>
              <w:t>教學獎</w:t>
            </w:r>
            <w:r>
              <w:rPr>
                <w:rFonts w:ascii="標楷體" w:eastAsia="標楷體" w:hAnsi="標楷體" w:cs="Times New Roman"/>
                <w:kern w:val="3"/>
                <w:szCs w:val="22"/>
              </w:rPr>
              <w:t>)</w:t>
            </w:r>
            <w:r>
              <w:rPr>
                <w:rFonts w:ascii="標楷體" w:eastAsia="標楷體" w:hAnsi="標楷體" w:cs="Times New Roman"/>
                <w:kern w:val="3"/>
                <w:szCs w:val="22"/>
              </w:rPr>
              <w:t>、課程、教材、教學成效及其他教學事蹟等</w:t>
            </w:r>
            <w:r>
              <w:rPr>
                <w:rFonts w:eastAsia="標楷體"/>
                <w:color w:val="FF0000"/>
                <w:u w:val="single"/>
              </w:rPr>
              <w:t>，成績累計達六十分以上</w:t>
            </w:r>
            <w:r>
              <w:rPr>
                <w:rFonts w:ascii="標楷體" w:eastAsia="標楷體" w:hAnsi="標楷體" w:cs="Times New Roman"/>
                <w:kern w:val="3"/>
                <w:szCs w:val="22"/>
              </w:rPr>
              <w:t>。</w:t>
            </w:r>
          </w:p>
          <w:p w:rsidR="008975FA" w:rsidRDefault="00097B3A">
            <w:pPr>
              <w:pStyle w:val="Web"/>
              <w:spacing w:before="0" w:after="0" w:line="0" w:lineRule="atLeast"/>
              <w:ind w:left="360" w:hanging="360"/>
            </w:pPr>
            <w:r>
              <w:rPr>
                <w:rFonts w:ascii="標楷體" w:eastAsia="標楷體" w:hAnsi="標楷體" w:cs="Times New Roman"/>
                <w:kern w:val="3"/>
                <w:szCs w:val="22"/>
              </w:rPr>
              <w:t>3.</w:t>
            </w:r>
            <w:r>
              <w:rPr>
                <w:rFonts w:ascii="標楷體" w:eastAsia="標楷體" w:hAnsi="標楷體" w:cs="Times New Roman"/>
                <w:kern w:val="3"/>
                <w:szCs w:val="22"/>
              </w:rPr>
              <w:t>輔導及服務：擔任行政職務、協助系事務推動、辦理或協助推廣教育、參與辦理各項研討會、擔任全校性委員會委員、系所導師、本校服務</w:t>
            </w:r>
            <w:r>
              <w:rPr>
                <w:rFonts w:ascii="標楷體" w:eastAsia="標楷體" w:hAnsi="標楷體" w:cs="Times New Roman"/>
                <w:kern w:val="3"/>
                <w:szCs w:val="22"/>
              </w:rPr>
              <w:t>類或輔導類優良教師及其他服務或輔導事蹟等</w:t>
            </w:r>
            <w:r>
              <w:rPr>
                <w:rFonts w:eastAsia="標楷體"/>
                <w:color w:val="FF0000"/>
                <w:u w:val="single"/>
              </w:rPr>
              <w:t>，成績累計達六十分以上</w:t>
            </w:r>
            <w:r>
              <w:rPr>
                <w:rFonts w:ascii="標楷體" w:eastAsia="標楷體" w:hAnsi="標楷體" w:cs="Times New Roman"/>
                <w:kern w:val="3"/>
                <w:szCs w:val="22"/>
              </w:rPr>
              <w:t>。</w:t>
            </w:r>
          </w:p>
          <w:p w:rsidR="008975FA" w:rsidRDefault="00097B3A">
            <w:pPr>
              <w:pStyle w:val="Web"/>
              <w:spacing w:before="0" w:after="0" w:line="0" w:lineRule="atLeast"/>
              <w:ind w:left="360" w:hanging="360"/>
              <w:rPr>
                <w:rFonts w:ascii="標楷體" w:eastAsia="標楷體" w:hAnsi="標楷體" w:cs="Times New Roman"/>
                <w:color w:val="FF0000"/>
                <w:kern w:val="3"/>
                <w:szCs w:val="22"/>
                <w:u w:val="single"/>
              </w:rPr>
            </w:pPr>
            <w:r>
              <w:rPr>
                <w:rFonts w:ascii="標楷體" w:eastAsia="標楷體" w:hAnsi="標楷體" w:cs="Times New Roman"/>
                <w:color w:val="FF0000"/>
                <w:kern w:val="3"/>
                <w:szCs w:val="22"/>
                <w:u w:val="single"/>
              </w:rPr>
              <w:t>4.</w:t>
            </w:r>
            <w:r>
              <w:rPr>
                <w:rFonts w:ascii="標楷體" w:eastAsia="標楷體" w:hAnsi="標楷體" w:cs="Times New Roman"/>
                <w:color w:val="FF0000"/>
                <w:kern w:val="3"/>
                <w:szCs w:val="22"/>
                <w:u w:val="single"/>
              </w:rPr>
              <w:t>以上各項詳細評審項目與計分標準，依照本院教師升等研究、教學、輔導及服務成績評分表辦理。</w:t>
            </w:r>
          </w:p>
          <w:p w:rsidR="008975FA" w:rsidRDefault="00097B3A">
            <w:pPr>
              <w:pStyle w:val="Web"/>
              <w:spacing w:before="0" w:after="0" w:line="0" w:lineRule="atLeast"/>
              <w:ind w:left="360" w:hanging="360"/>
              <w:rPr>
                <w:rFonts w:ascii="標楷體" w:eastAsia="標楷體" w:hAnsi="標楷體" w:cs="Times New Roman"/>
                <w:kern w:val="3"/>
                <w:szCs w:val="22"/>
              </w:rPr>
            </w:pPr>
            <w:r>
              <w:rPr>
                <w:rFonts w:ascii="標楷體" w:eastAsia="標楷體" w:hAnsi="標楷體" w:cs="Times New Roman"/>
                <w:kern w:val="3"/>
                <w:szCs w:val="22"/>
              </w:rPr>
              <w:t xml:space="preserve"> (</w:t>
            </w:r>
            <w:r>
              <w:rPr>
                <w:rFonts w:ascii="標楷體" w:eastAsia="標楷體" w:hAnsi="標楷體" w:cs="Times New Roman"/>
                <w:kern w:val="3"/>
                <w:szCs w:val="22"/>
              </w:rPr>
              <w:t>二</w:t>
            </w:r>
            <w:r>
              <w:rPr>
                <w:rFonts w:ascii="標楷體" w:eastAsia="標楷體" w:hAnsi="標楷體" w:cs="Times New Roman"/>
                <w:kern w:val="3"/>
                <w:szCs w:val="22"/>
              </w:rPr>
              <w:t>)</w:t>
            </w:r>
            <w:r>
              <w:rPr>
                <w:rFonts w:ascii="標楷體" w:eastAsia="標楷體" w:hAnsi="標楷體" w:cs="Times New Roman"/>
                <w:kern w:val="3"/>
                <w:szCs w:val="22"/>
              </w:rPr>
              <w:t>評審標準：</w:t>
            </w:r>
            <w:r>
              <w:rPr>
                <w:rFonts w:ascii="標楷體" w:eastAsia="標楷體" w:hAnsi="標楷體" w:cs="Times New Roman"/>
                <w:kern w:val="3"/>
                <w:szCs w:val="22"/>
              </w:rPr>
              <w:tab/>
            </w:r>
          </w:p>
          <w:p w:rsidR="008975FA" w:rsidRDefault="00097B3A">
            <w:pPr>
              <w:pStyle w:val="Web"/>
              <w:spacing w:before="0" w:after="0" w:line="0" w:lineRule="atLeast"/>
              <w:ind w:left="360" w:hanging="360"/>
            </w:pPr>
            <w:r>
              <w:rPr>
                <w:rFonts w:ascii="標楷體" w:eastAsia="標楷體" w:hAnsi="標楷體" w:cs="Times New Roman"/>
                <w:kern w:val="3"/>
                <w:szCs w:val="22"/>
              </w:rPr>
              <w:t>1.</w:t>
            </w:r>
            <w:r>
              <w:rPr>
                <w:rFonts w:ascii="標楷體" w:eastAsia="標楷體" w:hAnsi="標楷體" w:cs="Times New Roman"/>
                <w:kern w:val="3"/>
                <w:szCs w:val="22"/>
              </w:rPr>
              <w:t>以研究、教學、輔導及服務為評審</w:t>
            </w:r>
            <w:r>
              <w:rPr>
                <w:rFonts w:ascii="標楷體" w:eastAsia="標楷體" w:hAnsi="標楷體" w:cs="Times New Roman"/>
                <w:color w:val="FF0000"/>
                <w:kern w:val="3"/>
                <w:szCs w:val="22"/>
                <w:u w:val="single"/>
              </w:rPr>
              <w:t>三項，</w:t>
            </w:r>
            <w:r>
              <w:rPr>
                <w:rFonts w:ascii="標楷體" w:eastAsia="標楷體" w:hAnsi="標楷體" w:cs="Times New Roman"/>
                <w:kern w:val="3"/>
                <w:szCs w:val="22"/>
              </w:rPr>
              <w:t>滿分一百分，最低評估通過標準為七十分。升等教授者研究成績佔</w:t>
            </w:r>
            <w:r>
              <w:rPr>
                <w:rFonts w:ascii="標楷體" w:eastAsia="標楷體" w:hAnsi="標楷體" w:cs="Times New Roman"/>
                <w:color w:val="FF0000"/>
                <w:kern w:val="3"/>
                <w:szCs w:val="22"/>
                <w:u w:val="single"/>
              </w:rPr>
              <w:t>50%</w:t>
            </w:r>
            <w:r>
              <w:rPr>
                <w:rFonts w:ascii="標楷體" w:eastAsia="標楷體" w:hAnsi="標楷體" w:cs="Times New Roman"/>
                <w:kern w:val="3"/>
                <w:szCs w:val="22"/>
              </w:rPr>
              <w:t>，教學成績佔</w:t>
            </w:r>
            <w:r>
              <w:rPr>
                <w:rFonts w:ascii="標楷體" w:eastAsia="標楷體" w:hAnsi="標楷體" w:cs="Times New Roman"/>
                <w:color w:val="FF0000"/>
                <w:kern w:val="3"/>
                <w:szCs w:val="22"/>
                <w:u w:val="single"/>
              </w:rPr>
              <w:t>30%</w:t>
            </w:r>
            <w:r>
              <w:rPr>
                <w:rFonts w:ascii="標楷體" w:eastAsia="標楷體" w:hAnsi="標楷體" w:cs="Times New Roman"/>
                <w:kern w:val="3"/>
                <w:szCs w:val="22"/>
              </w:rPr>
              <w:t>，輔導及服務成績佔</w:t>
            </w:r>
            <w:r>
              <w:rPr>
                <w:rFonts w:ascii="標楷體" w:eastAsia="標楷體" w:hAnsi="標楷體" w:cs="Times New Roman"/>
                <w:color w:val="FF0000"/>
                <w:kern w:val="3"/>
                <w:szCs w:val="22"/>
                <w:u w:val="single"/>
              </w:rPr>
              <w:t>20%</w:t>
            </w:r>
            <w:r>
              <w:rPr>
                <w:rFonts w:ascii="標楷體" w:eastAsia="標楷體" w:hAnsi="標楷體" w:cs="Times New Roman"/>
                <w:kern w:val="3"/>
                <w:szCs w:val="22"/>
              </w:rPr>
              <w:t>；升等副教授者研究成績佔</w:t>
            </w:r>
            <w:r>
              <w:rPr>
                <w:rFonts w:ascii="標楷體" w:eastAsia="標楷體" w:hAnsi="標楷體" w:cs="Times New Roman"/>
                <w:color w:val="FF0000"/>
                <w:kern w:val="3"/>
                <w:szCs w:val="22"/>
                <w:u w:val="single"/>
              </w:rPr>
              <w:t>45%</w:t>
            </w:r>
            <w:r>
              <w:rPr>
                <w:rFonts w:ascii="標楷體" w:eastAsia="標楷體" w:hAnsi="標楷體" w:cs="Times New Roman"/>
                <w:kern w:val="3"/>
                <w:szCs w:val="22"/>
              </w:rPr>
              <w:t>，教學成績佔</w:t>
            </w:r>
            <w:r>
              <w:rPr>
                <w:rFonts w:ascii="標楷體" w:eastAsia="標楷體" w:hAnsi="標楷體" w:cs="Times New Roman"/>
                <w:color w:val="FF0000"/>
                <w:kern w:val="3"/>
                <w:szCs w:val="22"/>
                <w:u w:val="single"/>
              </w:rPr>
              <w:t>35%</w:t>
            </w:r>
            <w:r>
              <w:rPr>
                <w:rFonts w:ascii="標楷體" w:eastAsia="標楷體" w:hAnsi="標楷體" w:cs="Times New Roman"/>
                <w:kern w:val="3"/>
                <w:szCs w:val="22"/>
              </w:rPr>
              <w:t>，輔導及服務成績佔</w:t>
            </w:r>
            <w:r>
              <w:rPr>
                <w:rFonts w:ascii="標楷體" w:eastAsia="標楷體" w:hAnsi="標楷體" w:cs="Times New Roman"/>
                <w:color w:val="FF0000"/>
                <w:kern w:val="3"/>
                <w:szCs w:val="22"/>
                <w:u w:val="single"/>
              </w:rPr>
              <w:t>20%</w:t>
            </w:r>
            <w:r>
              <w:rPr>
                <w:rFonts w:ascii="標楷體" w:eastAsia="標楷體" w:hAnsi="標楷體" w:cs="Times New Roman"/>
                <w:kern w:val="3"/>
                <w:szCs w:val="22"/>
              </w:rPr>
              <w:t>；升等助理教授者研究成績佔</w:t>
            </w:r>
            <w:r>
              <w:rPr>
                <w:rFonts w:ascii="標楷體" w:eastAsia="標楷體" w:hAnsi="標楷體" w:cs="Times New Roman"/>
                <w:color w:val="FF0000"/>
                <w:kern w:val="3"/>
                <w:szCs w:val="22"/>
                <w:u w:val="single"/>
              </w:rPr>
              <w:t>40%</w:t>
            </w:r>
            <w:r>
              <w:rPr>
                <w:rFonts w:ascii="標楷體" w:eastAsia="標楷體" w:hAnsi="標楷體" w:cs="Times New Roman"/>
                <w:kern w:val="3"/>
                <w:szCs w:val="22"/>
              </w:rPr>
              <w:t>，教學成績佔</w:t>
            </w:r>
            <w:r>
              <w:rPr>
                <w:rFonts w:ascii="標楷體" w:eastAsia="標楷體" w:hAnsi="標楷體" w:cs="Times New Roman"/>
                <w:color w:val="FF0000"/>
                <w:kern w:val="3"/>
                <w:szCs w:val="22"/>
                <w:u w:val="single"/>
              </w:rPr>
              <w:t>40%</w:t>
            </w:r>
            <w:r>
              <w:rPr>
                <w:rFonts w:ascii="標楷體" w:eastAsia="標楷體" w:hAnsi="標楷體" w:cs="Times New Roman"/>
                <w:kern w:val="3"/>
                <w:szCs w:val="22"/>
              </w:rPr>
              <w:t>，輔導及服務成績佔</w:t>
            </w:r>
            <w:r>
              <w:rPr>
                <w:rFonts w:ascii="標楷體" w:eastAsia="標楷體" w:hAnsi="標楷體" w:cs="Times New Roman"/>
                <w:color w:val="FF0000"/>
                <w:kern w:val="3"/>
                <w:szCs w:val="22"/>
                <w:u w:val="single"/>
              </w:rPr>
              <w:t>20%</w:t>
            </w:r>
            <w:r>
              <w:rPr>
                <w:rFonts w:ascii="標楷體" w:eastAsia="標楷體" w:hAnsi="標楷體" w:cs="Times New Roman"/>
                <w:kern w:val="3"/>
                <w:szCs w:val="22"/>
              </w:rPr>
              <w:t>。</w:t>
            </w:r>
          </w:p>
          <w:p w:rsidR="008975FA" w:rsidRDefault="00097B3A">
            <w:pPr>
              <w:pStyle w:val="Web"/>
              <w:spacing w:before="0" w:after="0" w:line="0" w:lineRule="atLeast"/>
              <w:ind w:left="360" w:hanging="360"/>
            </w:pPr>
            <w:r>
              <w:rPr>
                <w:rFonts w:ascii="標楷體" w:eastAsia="標楷體" w:hAnsi="標楷體" w:cs="Times New Roman"/>
                <w:kern w:val="3"/>
                <w:szCs w:val="22"/>
              </w:rPr>
              <w:t xml:space="preserve">2. </w:t>
            </w:r>
            <w:r>
              <w:rPr>
                <w:rFonts w:ascii="標楷體" w:eastAsia="標楷體" w:hAnsi="標楷體" w:cs="Times New Roman"/>
                <w:kern w:val="3"/>
                <w:szCs w:val="22"/>
              </w:rPr>
              <w:t>研究、教學、輔導及服務各項目分別以滿分一百分評估，</w:t>
            </w:r>
            <w:r>
              <w:rPr>
                <w:rFonts w:ascii="標楷體" w:eastAsia="標楷體" w:hAnsi="標楷體" w:cs="Times New Roman"/>
                <w:color w:val="FF0000"/>
                <w:kern w:val="3"/>
                <w:szCs w:val="22"/>
                <w:u w:val="single"/>
              </w:rPr>
              <w:t>單項評估分數低於六十分時（研究七十分）</w:t>
            </w:r>
            <w:r>
              <w:rPr>
                <w:rFonts w:ascii="標楷體" w:eastAsia="標楷體" w:hAnsi="標楷體" w:cs="Times New Roman"/>
                <w:kern w:val="3"/>
                <w:szCs w:val="22"/>
              </w:rPr>
              <w:t>，視同總評不通過。</w:t>
            </w:r>
            <w:r>
              <w:rPr>
                <w:rFonts w:ascii="標楷體" w:eastAsia="標楷體" w:hAnsi="標楷體" w:cs="Times New Roman"/>
                <w:color w:val="FF0000"/>
                <w:kern w:val="3"/>
                <w:szCs w:val="22"/>
                <w:u w:val="single"/>
              </w:rPr>
              <w:t>（見本院教師升等審議門檻審查表）</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75FA" w:rsidRDefault="00097B3A">
            <w:pPr>
              <w:pStyle w:val="Web"/>
              <w:spacing w:before="0" w:after="0" w:line="0" w:lineRule="atLeast"/>
              <w:ind w:left="360" w:hanging="360"/>
            </w:pPr>
            <w:r>
              <w:rPr>
                <w:rFonts w:ascii="標楷體" w:eastAsia="標楷體" w:hAnsi="標楷體" w:cs="Times New Roman"/>
                <w:kern w:val="3"/>
                <w:szCs w:val="22"/>
                <w:u w:val="single"/>
              </w:rPr>
              <w:lastRenderedPageBreak/>
              <w:t>四</w:t>
            </w:r>
            <w:r>
              <w:rPr>
                <w:rFonts w:ascii="標楷體" w:eastAsia="標楷體" w:hAnsi="標楷體" w:cs="Times New Roman"/>
                <w:kern w:val="3"/>
                <w:szCs w:val="22"/>
              </w:rPr>
              <w:t>、本系教師升等評審項目及標準如下：</w:t>
            </w:r>
          </w:p>
          <w:p w:rsidR="008975FA" w:rsidRDefault="00097B3A">
            <w:pPr>
              <w:pStyle w:val="Web"/>
              <w:spacing w:before="0" w:after="0" w:line="0" w:lineRule="atLeast"/>
              <w:ind w:left="360" w:hanging="360"/>
              <w:rPr>
                <w:rFonts w:ascii="標楷體" w:eastAsia="標楷體" w:hAnsi="標楷體" w:cs="Times New Roman"/>
                <w:kern w:val="3"/>
                <w:szCs w:val="22"/>
              </w:rPr>
            </w:pPr>
            <w:r>
              <w:rPr>
                <w:rFonts w:ascii="標楷體" w:eastAsia="標楷體" w:hAnsi="標楷體" w:cs="Times New Roman"/>
                <w:kern w:val="3"/>
                <w:szCs w:val="22"/>
              </w:rPr>
              <w:t>(</w:t>
            </w:r>
            <w:r>
              <w:rPr>
                <w:rFonts w:ascii="標楷體" w:eastAsia="標楷體" w:hAnsi="標楷體" w:cs="Times New Roman"/>
                <w:kern w:val="3"/>
                <w:szCs w:val="22"/>
              </w:rPr>
              <w:t>一</w:t>
            </w:r>
            <w:r>
              <w:rPr>
                <w:rFonts w:ascii="標楷體" w:eastAsia="標楷體" w:hAnsi="標楷體" w:cs="Times New Roman"/>
                <w:kern w:val="3"/>
                <w:szCs w:val="22"/>
              </w:rPr>
              <w:t>)</w:t>
            </w:r>
            <w:r>
              <w:rPr>
                <w:rFonts w:ascii="標楷體" w:eastAsia="標楷體" w:hAnsi="標楷體" w:cs="Times New Roman"/>
                <w:kern w:val="3"/>
                <w:szCs w:val="22"/>
              </w:rPr>
              <w:t>評審項目：</w:t>
            </w:r>
          </w:p>
          <w:p w:rsidR="008975FA" w:rsidRDefault="00097B3A">
            <w:pPr>
              <w:pStyle w:val="Web"/>
              <w:spacing w:before="0" w:after="0" w:line="0" w:lineRule="atLeast"/>
              <w:ind w:left="360" w:hanging="360"/>
              <w:rPr>
                <w:rFonts w:ascii="標楷體" w:eastAsia="標楷體" w:hAnsi="標楷體" w:cs="Times New Roman"/>
                <w:kern w:val="3"/>
                <w:szCs w:val="22"/>
              </w:rPr>
            </w:pPr>
            <w:r>
              <w:rPr>
                <w:rFonts w:ascii="標楷體" w:eastAsia="標楷體" w:hAnsi="標楷體" w:cs="Times New Roman"/>
                <w:kern w:val="3"/>
                <w:szCs w:val="22"/>
              </w:rPr>
              <w:t>1.</w:t>
            </w:r>
            <w:r>
              <w:rPr>
                <w:rFonts w:ascii="標楷體" w:eastAsia="標楷體" w:hAnsi="標楷體" w:cs="Times New Roman"/>
                <w:kern w:val="3"/>
                <w:szCs w:val="22"/>
              </w:rPr>
              <w:t>研究：申請升等時現任職級七年內</w:t>
            </w:r>
            <w:r>
              <w:rPr>
                <w:rFonts w:ascii="標楷體" w:eastAsia="標楷體" w:hAnsi="標楷體" w:cs="Times New Roman"/>
                <w:kern w:val="3"/>
                <w:szCs w:val="22"/>
              </w:rPr>
              <w:t>(</w:t>
            </w:r>
            <w:r>
              <w:rPr>
                <w:rFonts w:ascii="標楷體" w:eastAsia="標楷體" w:hAnsi="標楷體" w:cs="Times New Roman"/>
                <w:kern w:val="3"/>
                <w:szCs w:val="22"/>
              </w:rPr>
              <w:t>如有懷孕生產之事實者，得申請延長二年</w:t>
            </w:r>
            <w:r>
              <w:rPr>
                <w:rFonts w:ascii="標楷體" w:eastAsia="標楷體" w:hAnsi="標楷體" w:cs="Times New Roman"/>
                <w:kern w:val="3"/>
                <w:szCs w:val="22"/>
              </w:rPr>
              <w:t>)</w:t>
            </w:r>
            <w:r>
              <w:rPr>
                <w:rFonts w:ascii="標楷體" w:eastAsia="標楷體" w:hAnsi="標楷體" w:cs="Times New Roman"/>
                <w:kern w:val="3"/>
                <w:szCs w:val="22"/>
              </w:rPr>
              <w:t>研究計畫獎助、論文發表、展覽演出及其他學術或產學成就。</w:t>
            </w:r>
          </w:p>
          <w:p w:rsidR="008975FA" w:rsidRDefault="00097B3A">
            <w:pPr>
              <w:pStyle w:val="Web"/>
              <w:spacing w:before="0" w:after="0" w:line="0" w:lineRule="atLeast"/>
              <w:ind w:left="360" w:hanging="360"/>
              <w:rPr>
                <w:rFonts w:ascii="標楷體" w:eastAsia="標楷體" w:hAnsi="標楷體" w:cs="Times New Roman"/>
                <w:kern w:val="3"/>
                <w:szCs w:val="22"/>
              </w:rPr>
            </w:pPr>
            <w:r>
              <w:rPr>
                <w:rFonts w:ascii="標楷體" w:eastAsia="標楷體" w:hAnsi="標楷體" w:cs="Times New Roman"/>
                <w:kern w:val="3"/>
                <w:szCs w:val="22"/>
              </w:rPr>
              <w:t>2.</w:t>
            </w:r>
            <w:r>
              <w:rPr>
                <w:rFonts w:ascii="標楷體" w:eastAsia="標楷體" w:hAnsi="標楷體" w:cs="Times New Roman"/>
                <w:kern w:val="3"/>
                <w:szCs w:val="22"/>
              </w:rPr>
              <w:t>教學：教學年資、申請升等時現任職級七年內</w:t>
            </w:r>
            <w:r>
              <w:rPr>
                <w:rFonts w:ascii="標楷體" w:eastAsia="標楷體" w:hAnsi="標楷體" w:cs="Times New Roman"/>
                <w:kern w:val="3"/>
                <w:szCs w:val="22"/>
              </w:rPr>
              <w:t>(</w:t>
            </w:r>
            <w:r>
              <w:rPr>
                <w:rFonts w:ascii="標楷體" w:eastAsia="標楷體" w:hAnsi="標楷體" w:cs="Times New Roman"/>
                <w:kern w:val="3"/>
                <w:szCs w:val="22"/>
              </w:rPr>
              <w:t>如有懷孕生產之事實者，得申請延長二年</w:t>
            </w:r>
            <w:r>
              <w:rPr>
                <w:rFonts w:ascii="標楷體" w:eastAsia="標楷體" w:hAnsi="標楷體" w:cs="Times New Roman"/>
                <w:kern w:val="3"/>
                <w:szCs w:val="22"/>
              </w:rPr>
              <w:t>)</w:t>
            </w:r>
            <w:r>
              <w:rPr>
                <w:rFonts w:ascii="標楷體" w:eastAsia="標楷體" w:hAnsi="標楷體" w:cs="Times New Roman"/>
                <w:kern w:val="3"/>
                <w:szCs w:val="22"/>
              </w:rPr>
              <w:t>平均授課時數、優良教師</w:t>
            </w:r>
            <w:r>
              <w:rPr>
                <w:rFonts w:ascii="標楷體" w:eastAsia="標楷體" w:hAnsi="標楷體" w:cs="Times New Roman"/>
                <w:kern w:val="3"/>
                <w:szCs w:val="22"/>
              </w:rPr>
              <w:lastRenderedPageBreak/>
              <w:t>(</w:t>
            </w:r>
            <w:r>
              <w:rPr>
                <w:rFonts w:ascii="標楷體" w:eastAsia="標楷體" w:hAnsi="標楷體" w:cs="Times New Roman"/>
                <w:kern w:val="3"/>
                <w:szCs w:val="22"/>
              </w:rPr>
              <w:t>教學獎</w:t>
            </w:r>
            <w:r>
              <w:rPr>
                <w:rFonts w:ascii="標楷體" w:eastAsia="標楷體" w:hAnsi="標楷體" w:cs="Times New Roman"/>
                <w:kern w:val="3"/>
                <w:szCs w:val="22"/>
              </w:rPr>
              <w:t>)</w:t>
            </w:r>
            <w:r>
              <w:rPr>
                <w:rFonts w:ascii="標楷體" w:eastAsia="標楷體" w:hAnsi="標楷體" w:cs="Times New Roman"/>
                <w:kern w:val="3"/>
                <w:szCs w:val="22"/>
              </w:rPr>
              <w:t>、課程、教材、教學成效及其他教學事蹟等。</w:t>
            </w:r>
          </w:p>
          <w:p w:rsidR="008975FA" w:rsidRDefault="00097B3A">
            <w:pPr>
              <w:pStyle w:val="Web"/>
              <w:spacing w:before="0" w:after="0" w:line="0" w:lineRule="atLeast"/>
              <w:ind w:left="360" w:hanging="360"/>
              <w:rPr>
                <w:rFonts w:ascii="標楷體" w:eastAsia="標楷體" w:hAnsi="標楷體" w:cs="Times New Roman"/>
                <w:kern w:val="3"/>
                <w:szCs w:val="22"/>
              </w:rPr>
            </w:pPr>
            <w:r>
              <w:rPr>
                <w:rFonts w:ascii="標楷體" w:eastAsia="標楷體" w:hAnsi="標楷體" w:cs="Times New Roman"/>
                <w:kern w:val="3"/>
                <w:szCs w:val="22"/>
              </w:rPr>
              <w:t>3.</w:t>
            </w:r>
            <w:r>
              <w:rPr>
                <w:rFonts w:ascii="標楷體" w:eastAsia="標楷體" w:hAnsi="標楷體" w:cs="Times New Roman"/>
                <w:kern w:val="3"/>
                <w:szCs w:val="22"/>
              </w:rPr>
              <w:t>輔導及服務：擔任行政職務、協助系事務推動、辦理或協助推廣教育、參與辦理各項研討會、擔任全校性委員會委員、系所導師、本校服務類或輔導類優良教師及其他服務或輔導事蹟等。</w:t>
            </w:r>
          </w:p>
          <w:p w:rsidR="008975FA" w:rsidRDefault="00097B3A">
            <w:pPr>
              <w:pStyle w:val="Web"/>
              <w:spacing w:before="0" w:after="0" w:line="0" w:lineRule="atLeast"/>
              <w:ind w:left="360" w:hanging="360"/>
              <w:rPr>
                <w:rFonts w:ascii="標楷體" w:eastAsia="標楷體" w:hAnsi="標楷體" w:cs="Times New Roman"/>
                <w:kern w:val="3"/>
                <w:szCs w:val="22"/>
              </w:rPr>
            </w:pPr>
            <w:r>
              <w:rPr>
                <w:rFonts w:ascii="標楷體" w:eastAsia="標楷體" w:hAnsi="標楷體" w:cs="Times New Roman"/>
                <w:kern w:val="3"/>
                <w:szCs w:val="22"/>
              </w:rPr>
              <w:t xml:space="preserve"> </w:t>
            </w:r>
          </w:p>
          <w:p w:rsidR="008975FA" w:rsidRDefault="008975FA">
            <w:pPr>
              <w:pStyle w:val="Web"/>
              <w:spacing w:before="0" w:after="0" w:line="0" w:lineRule="atLeast"/>
              <w:ind w:left="360" w:hanging="360"/>
              <w:rPr>
                <w:rFonts w:ascii="標楷體" w:eastAsia="標楷體" w:hAnsi="標楷體" w:cs="Times New Roman"/>
                <w:kern w:val="3"/>
                <w:szCs w:val="22"/>
              </w:rPr>
            </w:pPr>
          </w:p>
          <w:p w:rsidR="008975FA" w:rsidRDefault="008975FA">
            <w:pPr>
              <w:pStyle w:val="Web"/>
              <w:spacing w:before="0" w:after="0" w:line="0" w:lineRule="atLeast"/>
              <w:ind w:left="360" w:hanging="360"/>
              <w:rPr>
                <w:rFonts w:ascii="標楷體" w:eastAsia="標楷體" w:hAnsi="標楷體" w:cs="Times New Roman"/>
                <w:kern w:val="3"/>
                <w:szCs w:val="22"/>
              </w:rPr>
            </w:pPr>
          </w:p>
          <w:p w:rsidR="008975FA" w:rsidRDefault="008975FA">
            <w:pPr>
              <w:pStyle w:val="Web"/>
              <w:spacing w:before="0" w:after="0" w:line="0" w:lineRule="atLeast"/>
              <w:ind w:left="360" w:hanging="360"/>
              <w:rPr>
                <w:rFonts w:ascii="標楷體" w:eastAsia="標楷體" w:hAnsi="標楷體" w:cs="Times New Roman"/>
                <w:kern w:val="3"/>
                <w:szCs w:val="22"/>
              </w:rPr>
            </w:pPr>
          </w:p>
          <w:p w:rsidR="008975FA" w:rsidRDefault="008975FA">
            <w:pPr>
              <w:pStyle w:val="Web"/>
              <w:spacing w:before="0" w:after="0" w:line="0" w:lineRule="atLeast"/>
              <w:ind w:left="360" w:hanging="360"/>
              <w:rPr>
                <w:rFonts w:ascii="標楷體" w:eastAsia="標楷體" w:hAnsi="標楷體" w:cs="Times New Roman"/>
                <w:kern w:val="3"/>
                <w:szCs w:val="22"/>
              </w:rPr>
            </w:pPr>
          </w:p>
          <w:p w:rsidR="008975FA" w:rsidRDefault="008975FA">
            <w:pPr>
              <w:pStyle w:val="Web"/>
              <w:spacing w:before="0" w:after="0" w:line="0" w:lineRule="atLeast"/>
              <w:ind w:left="360" w:hanging="360"/>
              <w:rPr>
                <w:rFonts w:ascii="標楷體" w:eastAsia="標楷體" w:hAnsi="標楷體" w:cs="Times New Roman"/>
                <w:kern w:val="3"/>
                <w:szCs w:val="22"/>
              </w:rPr>
            </w:pPr>
          </w:p>
          <w:p w:rsidR="008975FA" w:rsidRDefault="008975FA">
            <w:pPr>
              <w:pStyle w:val="Web"/>
              <w:spacing w:before="0" w:after="0" w:line="0" w:lineRule="atLeast"/>
              <w:ind w:left="360" w:hanging="360"/>
              <w:rPr>
                <w:rFonts w:ascii="標楷體" w:eastAsia="標楷體" w:hAnsi="標楷體" w:cs="Times New Roman"/>
                <w:kern w:val="3"/>
                <w:szCs w:val="22"/>
              </w:rPr>
            </w:pPr>
          </w:p>
          <w:p w:rsidR="008975FA" w:rsidRDefault="00097B3A">
            <w:pPr>
              <w:pStyle w:val="Web"/>
              <w:spacing w:before="0" w:after="0" w:line="0" w:lineRule="atLeast"/>
              <w:ind w:left="360" w:hanging="360"/>
              <w:rPr>
                <w:rFonts w:ascii="標楷體" w:eastAsia="標楷體" w:hAnsi="標楷體" w:cs="Times New Roman"/>
                <w:kern w:val="3"/>
                <w:szCs w:val="22"/>
              </w:rPr>
            </w:pPr>
            <w:r>
              <w:rPr>
                <w:rFonts w:ascii="標楷體" w:eastAsia="標楷體" w:hAnsi="標楷體" w:cs="Times New Roman"/>
                <w:kern w:val="3"/>
                <w:szCs w:val="22"/>
              </w:rPr>
              <w:t>(</w:t>
            </w:r>
            <w:r>
              <w:rPr>
                <w:rFonts w:ascii="標楷體" w:eastAsia="標楷體" w:hAnsi="標楷體" w:cs="Times New Roman"/>
                <w:kern w:val="3"/>
                <w:szCs w:val="22"/>
              </w:rPr>
              <w:t>二</w:t>
            </w:r>
            <w:r>
              <w:rPr>
                <w:rFonts w:ascii="標楷體" w:eastAsia="標楷體" w:hAnsi="標楷體" w:cs="Times New Roman"/>
                <w:kern w:val="3"/>
                <w:szCs w:val="22"/>
              </w:rPr>
              <w:t>)</w:t>
            </w:r>
            <w:r>
              <w:rPr>
                <w:rFonts w:ascii="標楷體" w:eastAsia="標楷體" w:hAnsi="標楷體" w:cs="Times New Roman"/>
                <w:kern w:val="3"/>
                <w:szCs w:val="22"/>
              </w:rPr>
              <w:t>評審標準：</w:t>
            </w:r>
            <w:r>
              <w:rPr>
                <w:rFonts w:ascii="標楷體" w:eastAsia="標楷體" w:hAnsi="標楷體" w:cs="Times New Roman"/>
                <w:kern w:val="3"/>
                <w:szCs w:val="22"/>
              </w:rPr>
              <w:tab/>
            </w:r>
          </w:p>
          <w:p w:rsidR="008975FA" w:rsidRDefault="00097B3A">
            <w:pPr>
              <w:pStyle w:val="Web"/>
              <w:spacing w:before="0" w:after="0" w:line="0" w:lineRule="atLeast"/>
              <w:ind w:left="360" w:hanging="360"/>
            </w:pPr>
            <w:r>
              <w:rPr>
                <w:rFonts w:ascii="標楷體" w:eastAsia="標楷體" w:hAnsi="標楷體" w:cs="Times New Roman"/>
                <w:kern w:val="3"/>
                <w:szCs w:val="22"/>
              </w:rPr>
              <w:t>1.</w:t>
            </w:r>
            <w:r>
              <w:rPr>
                <w:rFonts w:ascii="標楷體" w:eastAsia="標楷體" w:hAnsi="標楷體" w:cs="Times New Roman"/>
                <w:kern w:val="3"/>
                <w:szCs w:val="22"/>
              </w:rPr>
              <w:t>以研究、教學、輔導及服務為評審</w:t>
            </w:r>
            <w:r>
              <w:rPr>
                <w:rFonts w:ascii="標楷體" w:eastAsia="標楷體" w:hAnsi="標楷體" w:cs="Times New Roman"/>
                <w:kern w:val="3"/>
                <w:szCs w:val="22"/>
                <w:u w:val="single"/>
              </w:rPr>
              <w:t>項目，</w:t>
            </w:r>
            <w:r>
              <w:rPr>
                <w:rFonts w:ascii="標楷體" w:eastAsia="標楷體" w:hAnsi="標楷體" w:cs="Times New Roman"/>
                <w:kern w:val="3"/>
                <w:szCs w:val="22"/>
              </w:rPr>
              <w:t>三項</w:t>
            </w:r>
            <w:r>
              <w:rPr>
                <w:rFonts w:ascii="標楷體" w:eastAsia="標楷體" w:hAnsi="標楷體" w:cs="Times New Roman"/>
                <w:kern w:val="3"/>
                <w:szCs w:val="22"/>
                <w:u w:val="single"/>
              </w:rPr>
              <w:t>評分比率和為百分之一百</w:t>
            </w:r>
            <w:r>
              <w:rPr>
                <w:rFonts w:ascii="標楷體" w:eastAsia="標楷體" w:hAnsi="標楷體" w:cs="Times New Roman"/>
                <w:kern w:val="3"/>
                <w:szCs w:val="22"/>
              </w:rPr>
              <w:t>，滿分一百分，最低評估通過標準為七十分。升等教授者研究成績佔</w:t>
            </w:r>
            <w:r>
              <w:rPr>
                <w:rFonts w:ascii="標楷體" w:eastAsia="標楷體" w:hAnsi="標楷體" w:cs="Times New Roman"/>
                <w:kern w:val="3"/>
                <w:szCs w:val="22"/>
                <w:u w:val="single"/>
              </w:rPr>
              <w:t>百分之五十</w:t>
            </w:r>
            <w:r>
              <w:rPr>
                <w:rFonts w:ascii="標楷體" w:eastAsia="標楷體" w:hAnsi="標楷體" w:cs="Times New Roman"/>
                <w:kern w:val="3"/>
                <w:szCs w:val="22"/>
              </w:rPr>
              <w:t>，教學成績佔</w:t>
            </w:r>
            <w:r>
              <w:rPr>
                <w:rFonts w:ascii="標楷體" w:eastAsia="標楷體" w:hAnsi="標楷體" w:cs="Times New Roman"/>
                <w:kern w:val="3"/>
                <w:szCs w:val="22"/>
                <w:u w:val="single"/>
              </w:rPr>
              <w:t>百分之三十</w:t>
            </w:r>
            <w:r>
              <w:rPr>
                <w:rFonts w:ascii="標楷體" w:eastAsia="標楷體" w:hAnsi="標楷體" w:cs="Times New Roman"/>
                <w:kern w:val="3"/>
                <w:szCs w:val="22"/>
              </w:rPr>
              <w:t>，輔導及服務成績佔</w:t>
            </w:r>
            <w:r>
              <w:rPr>
                <w:rFonts w:ascii="標楷體" w:eastAsia="標楷體" w:hAnsi="標楷體" w:cs="Times New Roman"/>
                <w:kern w:val="3"/>
                <w:szCs w:val="22"/>
                <w:u w:val="single"/>
              </w:rPr>
              <w:t>百分之二十</w:t>
            </w:r>
            <w:r>
              <w:rPr>
                <w:rFonts w:ascii="標楷體" w:eastAsia="標楷體" w:hAnsi="標楷體" w:cs="Times New Roman"/>
                <w:kern w:val="3"/>
                <w:szCs w:val="22"/>
              </w:rPr>
              <w:t>；升等副教授者研究成績佔</w:t>
            </w:r>
            <w:r>
              <w:rPr>
                <w:rFonts w:ascii="標楷體" w:eastAsia="標楷體" w:hAnsi="標楷體" w:cs="Times New Roman"/>
                <w:kern w:val="3"/>
                <w:szCs w:val="22"/>
                <w:u w:val="single"/>
              </w:rPr>
              <w:t>百分之四十五</w:t>
            </w:r>
            <w:r>
              <w:rPr>
                <w:rFonts w:ascii="標楷體" w:eastAsia="標楷體" w:hAnsi="標楷體" w:cs="Times New Roman"/>
                <w:kern w:val="3"/>
                <w:szCs w:val="22"/>
              </w:rPr>
              <w:t>，教學成績佔</w:t>
            </w:r>
            <w:r>
              <w:rPr>
                <w:rFonts w:ascii="標楷體" w:eastAsia="標楷體" w:hAnsi="標楷體" w:cs="Times New Roman"/>
                <w:kern w:val="3"/>
                <w:szCs w:val="22"/>
                <w:u w:val="single"/>
              </w:rPr>
              <w:t>百分之三十五</w:t>
            </w:r>
            <w:r>
              <w:rPr>
                <w:rFonts w:ascii="標楷體" w:eastAsia="標楷體" w:hAnsi="標楷體" w:cs="Times New Roman"/>
                <w:kern w:val="3"/>
                <w:szCs w:val="22"/>
              </w:rPr>
              <w:t>，輔導及服務成績佔</w:t>
            </w:r>
            <w:r>
              <w:rPr>
                <w:rFonts w:ascii="標楷體" w:eastAsia="標楷體" w:hAnsi="標楷體" w:cs="Times New Roman"/>
                <w:kern w:val="3"/>
                <w:szCs w:val="22"/>
                <w:u w:val="single"/>
              </w:rPr>
              <w:t>百分之二十</w:t>
            </w:r>
            <w:r>
              <w:rPr>
                <w:rFonts w:ascii="標楷體" w:eastAsia="標楷體" w:hAnsi="標楷體" w:cs="Times New Roman"/>
                <w:kern w:val="3"/>
                <w:szCs w:val="22"/>
              </w:rPr>
              <w:t>；升等助理教授者研究成績佔</w:t>
            </w:r>
            <w:r>
              <w:rPr>
                <w:rFonts w:ascii="標楷體" w:eastAsia="標楷體" w:hAnsi="標楷體" w:cs="Times New Roman"/>
                <w:kern w:val="3"/>
                <w:szCs w:val="22"/>
                <w:u w:val="single"/>
              </w:rPr>
              <w:t>百分之</w:t>
            </w:r>
            <w:r>
              <w:rPr>
                <w:rFonts w:ascii="標楷體" w:eastAsia="標楷體" w:hAnsi="標楷體" w:cs="Times New Roman"/>
                <w:kern w:val="3"/>
                <w:szCs w:val="22"/>
                <w:u w:val="single"/>
              </w:rPr>
              <w:t>四十</w:t>
            </w:r>
            <w:r>
              <w:rPr>
                <w:rFonts w:ascii="標楷體" w:eastAsia="標楷體" w:hAnsi="標楷體" w:cs="Times New Roman"/>
                <w:kern w:val="3"/>
                <w:szCs w:val="22"/>
              </w:rPr>
              <w:t>，教學成績佔</w:t>
            </w:r>
            <w:r>
              <w:rPr>
                <w:rFonts w:ascii="標楷體" w:eastAsia="標楷體" w:hAnsi="標楷體" w:cs="Times New Roman"/>
                <w:kern w:val="3"/>
                <w:szCs w:val="22"/>
                <w:u w:val="single"/>
              </w:rPr>
              <w:t>百分之四十</w:t>
            </w:r>
            <w:r>
              <w:rPr>
                <w:rFonts w:ascii="標楷體" w:eastAsia="標楷體" w:hAnsi="標楷體" w:cs="Times New Roman"/>
                <w:kern w:val="3"/>
                <w:szCs w:val="22"/>
              </w:rPr>
              <w:t>，輔導及服務成績佔</w:t>
            </w:r>
            <w:r>
              <w:rPr>
                <w:rFonts w:ascii="標楷體" w:eastAsia="標楷體" w:hAnsi="標楷體" w:cs="Times New Roman"/>
                <w:kern w:val="3"/>
                <w:szCs w:val="22"/>
                <w:u w:val="single"/>
              </w:rPr>
              <w:t>百分之二十</w:t>
            </w:r>
            <w:r>
              <w:rPr>
                <w:rFonts w:ascii="標楷體" w:eastAsia="標楷體" w:hAnsi="標楷體" w:cs="Times New Roman"/>
                <w:kern w:val="3"/>
                <w:szCs w:val="22"/>
              </w:rPr>
              <w:t>。</w:t>
            </w:r>
          </w:p>
          <w:p w:rsidR="008975FA" w:rsidRDefault="00097B3A">
            <w:pPr>
              <w:pStyle w:val="Web"/>
              <w:spacing w:before="0" w:after="0" w:line="0" w:lineRule="atLeast"/>
              <w:ind w:left="360" w:hanging="360"/>
            </w:pPr>
            <w:r>
              <w:rPr>
                <w:rFonts w:ascii="標楷體" w:eastAsia="標楷體" w:hAnsi="標楷體" w:cs="Times New Roman"/>
                <w:kern w:val="3"/>
                <w:szCs w:val="22"/>
              </w:rPr>
              <w:t xml:space="preserve">2. </w:t>
            </w:r>
            <w:r>
              <w:rPr>
                <w:rFonts w:ascii="標楷體" w:eastAsia="標楷體" w:hAnsi="標楷體" w:cs="Times New Roman"/>
                <w:kern w:val="3"/>
                <w:szCs w:val="22"/>
              </w:rPr>
              <w:t>研究、教學、輔導及服務各項目分別以滿分一百分評估，</w:t>
            </w:r>
            <w:r>
              <w:rPr>
                <w:rFonts w:ascii="標楷體" w:eastAsia="標楷體" w:hAnsi="標楷體" w:cs="Times New Roman"/>
                <w:kern w:val="3"/>
                <w:szCs w:val="22"/>
                <w:u w:val="single"/>
              </w:rPr>
              <w:t>研究成績低於七十分或其他二項中任一項低於六十分時</w:t>
            </w:r>
            <w:r>
              <w:rPr>
                <w:rFonts w:ascii="標楷體" w:eastAsia="標楷體" w:hAnsi="標楷體" w:cs="Times New Roman"/>
                <w:kern w:val="3"/>
                <w:szCs w:val="22"/>
              </w:rPr>
              <w:t>，視同總評不通過。</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75FA" w:rsidRDefault="00097B3A">
            <w:pPr>
              <w:spacing w:line="0" w:lineRule="atLeast"/>
              <w:ind w:left="1" w:hanging="1"/>
              <w:rPr>
                <w:rFonts w:ascii="標楷體" w:hAnsi="標楷體"/>
                <w:sz w:val="24"/>
                <w:szCs w:val="22"/>
              </w:rPr>
            </w:pPr>
            <w:r>
              <w:rPr>
                <w:rFonts w:ascii="標楷體" w:hAnsi="標楷體"/>
                <w:sz w:val="24"/>
                <w:szCs w:val="22"/>
              </w:rPr>
              <w:lastRenderedPageBreak/>
              <w:t>一、修正條次</w:t>
            </w:r>
          </w:p>
          <w:p w:rsidR="008975FA" w:rsidRDefault="00097B3A">
            <w:pPr>
              <w:spacing w:line="0" w:lineRule="atLeast"/>
              <w:ind w:left="454" w:hanging="454"/>
              <w:rPr>
                <w:rFonts w:ascii="標楷體" w:hAnsi="標楷體"/>
                <w:sz w:val="24"/>
                <w:szCs w:val="22"/>
              </w:rPr>
            </w:pPr>
            <w:r>
              <w:rPr>
                <w:rFonts w:ascii="標楷體" w:hAnsi="標楷體"/>
                <w:sz w:val="24"/>
                <w:szCs w:val="22"/>
              </w:rPr>
              <w:t>二、增加成績及評分說明。</w:t>
            </w:r>
          </w:p>
        </w:tc>
      </w:tr>
      <w:tr w:rsidR="008975FA">
        <w:tblPrEx>
          <w:tblCellMar>
            <w:top w:w="0" w:type="dxa"/>
            <w:bottom w:w="0" w:type="dxa"/>
          </w:tblCellMar>
        </w:tblPrEx>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75FA" w:rsidRDefault="008975FA">
            <w:pPr>
              <w:pStyle w:val="Web"/>
              <w:spacing w:before="0" w:after="0" w:line="0" w:lineRule="atLeast"/>
              <w:ind w:left="360" w:hanging="360"/>
              <w:rPr>
                <w:rFonts w:ascii="標楷體" w:eastAsia="標楷體" w:hAnsi="標楷體" w:cs="Times New Roman"/>
                <w:kern w:val="3"/>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75FA" w:rsidRDefault="00097B3A">
            <w:pPr>
              <w:pStyle w:val="Web"/>
              <w:spacing w:before="0" w:after="0" w:line="0" w:lineRule="atLeast"/>
              <w:ind w:left="360" w:hanging="360"/>
            </w:pPr>
            <w:r>
              <w:rPr>
                <w:rFonts w:ascii="標楷體" w:eastAsia="標楷體" w:hAnsi="標楷體" w:cs="Times New Roman"/>
                <w:kern w:val="3"/>
                <w:u w:val="single"/>
              </w:rPr>
              <w:t>五</w:t>
            </w:r>
            <w:r>
              <w:rPr>
                <w:rFonts w:ascii="標楷體" w:eastAsia="標楷體" w:hAnsi="標楷體" w:cs="Times New Roman"/>
                <w:kern w:val="3"/>
              </w:rPr>
              <w:t>、有關本系教師研究、教學、輔導及服務成績，依本系教師研究教學服務要點、本系教師服務績效計算標準及人文學院教師升等審議準則第</w:t>
            </w:r>
            <w:r>
              <w:rPr>
                <w:rFonts w:ascii="標楷體" w:eastAsia="標楷體" w:hAnsi="標楷體" w:cs="Times New Roman"/>
                <w:color w:val="FF0000"/>
                <w:kern w:val="3"/>
                <w:u w:val="single"/>
              </w:rPr>
              <w:t>三</w:t>
            </w:r>
            <w:r>
              <w:rPr>
                <w:rFonts w:ascii="標楷體" w:eastAsia="標楷體" w:hAnsi="標楷體" w:cs="Times New Roman"/>
                <w:kern w:val="3"/>
              </w:rPr>
              <w:t>條附表一至附表三規定項目辦理。</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75FA" w:rsidRDefault="00097B3A">
            <w:pPr>
              <w:spacing w:line="0" w:lineRule="atLeast"/>
              <w:rPr>
                <w:rFonts w:ascii="標楷體" w:hAnsi="標楷體"/>
                <w:sz w:val="24"/>
              </w:rPr>
            </w:pPr>
            <w:r>
              <w:rPr>
                <w:rFonts w:ascii="標楷體" w:hAnsi="標楷體"/>
                <w:sz w:val="24"/>
              </w:rPr>
              <w:t>刪除本條文，回歸院級規定。</w:t>
            </w:r>
          </w:p>
        </w:tc>
      </w:tr>
      <w:tr w:rsidR="008975FA">
        <w:tblPrEx>
          <w:tblCellMar>
            <w:top w:w="0" w:type="dxa"/>
            <w:bottom w:w="0" w:type="dxa"/>
          </w:tblCellMar>
        </w:tblPrEx>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75FA" w:rsidRDefault="00097B3A">
            <w:pPr>
              <w:ind w:left="480" w:hanging="480"/>
            </w:pPr>
            <w:r>
              <w:rPr>
                <w:rFonts w:ascii="標楷體" w:hAnsi="標楷體"/>
                <w:bCs/>
                <w:color w:val="FF0000"/>
                <w:sz w:val="24"/>
                <w:u w:val="single"/>
              </w:rPr>
              <w:lastRenderedPageBreak/>
              <w:t>四、本系教師申請升等之程序與規定如下：</w:t>
            </w:r>
          </w:p>
          <w:p w:rsidR="008975FA" w:rsidRDefault="00097B3A">
            <w:pPr>
              <w:ind w:left="770" w:hanging="485"/>
            </w:pPr>
            <w:r>
              <w:rPr>
                <w:rFonts w:ascii="標楷體" w:hAnsi="標楷體"/>
                <w:bCs/>
                <w:color w:val="FF0000"/>
                <w:sz w:val="24"/>
                <w:u w:val="single"/>
              </w:rPr>
              <w:t>(</w:t>
            </w:r>
            <w:r>
              <w:rPr>
                <w:rFonts w:ascii="標楷體" w:hAnsi="標楷體"/>
                <w:bCs/>
                <w:color w:val="FF0000"/>
                <w:sz w:val="24"/>
                <w:u w:val="single"/>
              </w:rPr>
              <w:t>一</w:t>
            </w:r>
            <w:r>
              <w:rPr>
                <w:rFonts w:ascii="標楷體" w:hAnsi="標楷體"/>
                <w:bCs/>
                <w:color w:val="FF0000"/>
                <w:sz w:val="24"/>
                <w:u w:val="single"/>
              </w:rPr>
              <w:t>)</w:t>
            </w:r>
            <w:r>
              <w:rPr>
                <w:rFonts w:ascii="標楷體" w:hAnsi="標楷體"/>
                <w:bCs/>
                <w:sz w:val="24"/>
              </w:rPr>
              <w:t>申請升等，教師應於</w:t>
            </w:r>
            <w:r>
              <w:rPr>
                <w:rFonts w:ascii="標楷體" w:hAnsi="標楷體"/>
                <w:bCs/>
                <w:color w:val="FF0000"/>
                <w:sz w:val="24"/>
                <w:u w:val="single"/>
              </w:rPr>
              <w:t>八月一日至八月二十日或二月一日至二月二十日前</w:t>
            </w:r>
            <w:r>
              <w:rPr>
                <w:rFonts w:ascii="標楷體" w:hAnsi="標楷體"/>
                <w:bCs/>
                <w:sz w:val="24"/>
              </w:rPr>
              <w:t>填具本校教師升等申請表，經本系、人文學院及人事室就升等資格檢核通過後，</w:t>
            </w:r>
            <w:r>
              <w:rPr>
                <w:bCs/>
                <w:color w:val="FF0000"/>
                <w:sz w:val="24"/>
                <w:u w:val="single"/>
              </w:rPr>
              <w:t>於九月十日或三月十日前</w:t>
            </w:r>
            <w:r>
              <w:rPr>
                <w:rFonts w:ascii="標楷體" w:hAnsi="標楷體"/>
                <w:bCs/>
                <w:sz w:val="24"/>
              </w:rPr>
              <w:t>依其申請升等類型，填具本校教師升等案件檢核表、教師升等成績檢核表並檢具</w:t>
            </w:r>
            <w:r>
              <w:rPr>
                <w:rFonts w:ascii="標楷體" w:hAnsi="標楷體"/>
                <w:bCs/>
                <w:color w:val="FF0000"/>
                <w:sz w:val="24"/>
                <w:u w:val="single"/>
              </w:rPr>
              <w:t>升等專門著作一式五份及升等門檻</w:t>
            </w:r>
            <w:r>
              <w:rPr>
                <w:rFonts w:ascii="標楷體" w:hAnsi="標楷體"/>
                <w:bCs/>
                <w:sz w:val="24"/>
              </w:rPr>
              <w:t>相關資料</w:t>
            </w:r>
            <w:r>
              <w:rPr>
                <w:rFonts w:ascii="標楷體" w:hAnsi="標楷體"/>
                <w:bCs/>
                <w:color w:val="FF0000"/>
                <w:sz w:val="24"/>
                <w:u w:val="single"/>
              </w:rPr>
              <w:t>，送本系教師評審委員會辦理審議。上述升等資料送出後，除審查需要外，不受理補件。</w:t>
            </w:r>
          </w:p>
          <w:p w:rsidR="008975FA" w:rsidRDefault="00097B3A">
            <w:pPr>
              <w:ind w:left="770" w:hanging="485"/>
            </w:pPr>
            <w:r>
              <w:rPr>
                <w:rFonts w:ascii="標楷體" w:hAnsi="標楷體"/>
                <w:bCs/>
                <w:color w:val="FF0000"/>
                <w:sz w:val="24"/>
                <w:u w:val="single"/>
              </w:rPr>
              <w:t>(</w:t>
            </w:r>
            <w:r>
              <w:rPr>
                <w:rFonts w:ascii="標楷體" w:hAnsi="標楷體"/>
                <w:bCs/>
                <w:color w:val="FF0000"/>
                <w:sz w:val="24"/>
                <w:u w:val="single"/>
              </w:rPr>
              <w:t>二</w:t>
            </w:r>
            <w:r>
              <w:rPr>
                <w:rFonts w:ascii="標楷體" w:hAnsi="標楷體"/>
                <w:bCs/>
                <w:color w:val="FF0000"/>
                <w:sz w:val="24"/>
                <w:u w:val="single"/>
              </w:rPr>
              <w:t>)</w:t>
            </w:r>
            <w:r>
              <w:rPr>
                <w:rFonts w:ascii="標楷體" w:hAnsi="標楷體"/>
                <w:bCs/>
                <w:color w:val="FF0000"/>
                <w:sz w:val="24"/>
                <w:u w:val="single"/>
              </w:rPr>
              <w:t>教師升等著作資料於本系教師評審委員會審議前，應公開展示一週以上並通知本系教評會委員得先行閱覽。</w:t>
            </w:r>
            <w:r>
              <w:rPr>
                <w:rFonts w:ascii="標楷體" w:eastAsia="新細明體" w:hAnsi="標楷體"/>
                <w:bCs/>
                <w:noProof/>
                <w:sz w:val="24"/>
                <w:szCs w:val="22"/>
              </w:rPr>
              <mc:AlternateContent>
                <mc:Choice Requires="wps">
                  <w:drawing>
                    <wp:anchor distT="0" distB="0" distL="114300" distR="114300" simplePos="0" relativeHeight="251671552" behindDoc="0" locked="0" layoutInCell="1" allowOverlap="1">
                      <wp:simplePos x="0" y="0"/>
                      <wp:positionH relativeFrom="column">
                        <wp:posOffset>8991596</wp:posOffset>
                      </wp:positionH>
                      <wp:positionV relativeFrom="paragraph">
                        <wp:posOffset>1028700</wp:posOffset>
                      </wp:positionV>
                      <wp:extent cx="609603" cy="2057400"/>
                      <wp:effectExtent l="0" t="0" r="0" b="0"/>
                      <wp:wrapNone/>
                      <wp:docPr id="2" name="文字方塊 3"/>
                      <wp:cNvGraphicFramePr/>
                      <a:graphic xmlns:a="http://schemas.openxmlformats.org/drawingml/2006/main">
                        <a:graphicData uri="http://schemas.microsoft.com/office/word/2010/wordprocessingShape">
                          <wps:wsp>
                            <wps:cNvSpPr txBox="1"/>
                            <wps:spPr>
                              <a:xfrm>
                                <a:off x="0" y="0"/>
                                <a:ext cx="609603" cy="2057400"/>
                              </a:xfrm>
                              <a:prstGeom prst="rect">
                                <a:avLst/>
                              </a:prstGeom>
                              <a:noFill/>
                              <a:ln>
                                <a:noFill/>
                                <a:prstDash/>
                              </a:ln>
                            </wps:spPr>
                            <wps:txbx>
                              <w:txbxContent>
                                <w:p w:rsidR="008975FA" w:rsidRDefault="00097B3A">
                                  <w:r>
                                    <w:t xml:space="preserve">　－</w:t>
                                  </w:r>
                                  <w:r>
                                    <w:t>44</w:t>
                                  </w:r>
                                  <w:r>
                                    <w:t>－</w:t>
                                  </w:r>
                                </w:p>
                              </w:txbxContent>
                            </wps:txbx>
                            <wps:bodyPr vert="horz" wrap="square" lIns="91440" tIns="45720" rIns="91440" bIns="45720" anchor="t" anchorCtr="0" compatLnSpc="0">
                              <a:noAutofit/>
                            </wps:bodyPr>
                          </wps:wsp>
                        </a:graphicData>
                      </a:graphic>
                    </wp:anchor>
                  </w:drawing>
                </mc:Choice>
                <mc:Fallback>
                  <w:pict>
                    <v:shape id="文字方塊 3" o:spid="_x0000_s1027" type="#_x0000_t202" style="position:absolute;left:0;text-align:left;margin-left:708pt;margin-top:81pt;width:48pt;height:162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IVJ6wEAAJwDAAAOAAAAZHJzL2Uyb0RvYy54bWysU0Fu2zAQvBfIHwjeY8mK4zSC5aCtkaJA&#10;0BZw+wCaIi0CIpclaUvuBwr0Aem5D+gD+qDkHV1SjmMkt6AXitxdLmdmR7OrXrdkK5xXYCo6HuWU&#10;CMOhVmZd0a9frk9fU+IDMzVrwYiK7oSnV/OTV7POlqKABtpaOIJNjC87W9EmBFtmmeeN0MyPwAqD&#10;SQlOs4BHt85qxzrsrtusyPNp1oGrrQMuvMfoYkjSeeovpeDhk5ReBNJWFLGFtLq0ruKazWesXDtm&#10;G8X3MNgLUGimDD56aLVggZGNU89aacUdeJBhxEFnIKXiInFANuP8CZtlw6xIXFAcbw8y+f/Xln/c&#10;fnZE1RUtKDFM44jub3/c/fl1f/v37vdPchYV6qwvsXBpsTT0b6HHST/EPQYj8V46Hb9IiWAetd4d&#10;9BV9IByD0/xymp9RwjFV5OcXkzwNIHu8bZ0P7wVoEjcVdTi/JCvb3viASLD0oSQ+ZuBatW2aYWue&#10;BGLdgvlmuBXTWeQx4I270K/6xPzAZQX1DiminfHtBtx3Sjq0RkX9tw1zgpL2g0HtL8eTSfRSOkzO&#10;Lwo8uOPM6jjDDMdWFQ2UDNt3YfAfGsCycGOWlkelBvhvNgGkSlQjxgHRHjpaICmwt2v02PE5VT3+&#10;VPN/AAAA//8DAFBLAwQUAAYACAAAACEAiqO79NwAAAANAQAADwAAAGRycy9kb3ducmV2LnhtbExP&#10;y07DMBC8I/EP1iL1Ru1UaVRCnKoq4lpEeUjc3HibRMTrKHab8PdsTnCb0YzmUWwn14krDqH1pCFZ&#10;KhBIlbct1Rre357vNyBCNGRN5wk1/GCAbXl7U5jc+pFe8XqMteAQCrnR0MTY51KGqkFnwtL3SKyd&#10;/eBMZDrU0g5m5HDXyZVSmXSmJW5oTI/7Bqvv48Vp+Dicvz5T9VI/uXU/+klJcg9S68XdtHsEEXGK&#10;f2aY5/N0KHnTyV/IBtExT5OMz0RG2YrBbFknMzppSDesybKQ/1+UvwAAAP//AwBQSwECLQAUAAYA&#10;CAAAACEAtoM4kv4AAADhAQAAEwAAAAAAAAAAAAAAAAAAAAAAW0NvbnRlbnRfVHlwZXNdLnhtbFBL&#10;AQItABQABgAIAAAAIQA4/SH/1gAAAJQBAAALAAAAAAAAAAAAAAAAAC8BAABfcmVscy8ucmVsc1BL&#10;AQItABQABgAIAAAAIQC9WIVJ6wEAAJwDAAAOAAAAAAAAAAAAAAAAAC4CAABkcnMvZTJvRG9jLnht&#10;bFBLAQItABQABgAIAAAAIQCKo7v03AAAAA0BAAAPAAAAAAAAAAAAAAAAAEUEAABkcnMvZG93bnJl&#10;di54bWxQSwUGAAAAAAQABADzAAAATgUAAAAA&#10;" filled="f" stroked="f">
                      <v:textbox>
                        <w:txbxContent>
                          <w:p w:rsidR="008975FA" w:rsidRDefault="00097B3A">
                            <w:r>
                              <w:t xml:space="preserve">　－</w:t>
                            </w:r>
                            <w:r>
                              <w:t>44</w:t>
                            </w:r>
                            <w:r>
                              <w:t>－</w:t>
                            </w:r>
                          </w:p>
                        </w:txbxContent>
                      </v:textbox>
                    </v:shape>
                  </w:pict>
                </mc:Fallback>
              </mc:AlternateContent>
            </w:r>
          </w:p>
          <w:p w:rsidR="008975FA" w:rsidRDefault="00097B3A">
            <w:pPr>
              <w:ind w:left="770" w:hanging="485"/>
            </w:pPr>
            <w:r>
              <w:rPr>
                <w:rFonts w:ascii="標楷體" w:hAnsi="標楷體"/>
                <w:bCs/>
                <w:color w:val="FF0000"/>
                <w:sz w:val="24"/>
                <w:u w:val="single"/>
              </w:rPr>
              <w:t>(</w:t>
            </w:r>
            <w:r>
              <w:rPr>
                <w:rFonts w:ascii="標楷體" w:hAnsi="標楷體"/>
                <w:bCs/>
                <w:color w:val="FF0000"/>
                <w:sz w:val="24"/>
                <w:u w:val="single"/>
              </w:rPr>
              <w:t>三</w:t>
            </w:r>
            <w:r>
              <w:rPr>
                <w:rFonts w:ascii="標楷體" w:hAnsi="標楷體"/>
                <w:bCs/>
                <w:color w:val="FF0000"/>
                <w:sz w:val="24"/>
                <w:u w:val="single"/>
              </w:rPr>
              <w:t>)</w:t>
            </w:r>
            <w:r>
              <w:rPr>
                <w:rFonts w:ascii="標楷體" w:hAnsi="標楷體"/>
                <w:bCs/>
                <w:sz w:val="24"/>
              </w:rPr>
              <w:t>本系應</w:t>
            </w:r>
            <w:r>
              <w:rPr>
                <w:rFonts w:ascii="標楷體" w:hAnsi="標楷體"/>
                <w:bCs/>
                <w:color w:val="FF0000"/>
                <w:sz w:val="24"/>
                <w:u w:val="single"/>
              </w:rPr>
              <w:t>於十月一日或四月一日前，召開教評會</w:t>
            </w:r>
            <w:r>
              <w:rPr>
                <w:rFonts w:ascii="標楷體" w:hAnsi="標楷體"/>
                <w:bCs/>
                <w:sz w:val="24"/>
              </w:rPr>
              <w:t>審議申請升等教師是否符合本系升等門檻，經審議</w:t>
            </w:r>
            <w:r>
              <w:rPr>
                <w:rFonts w:ascii="標楷體" w:hAnsi="標楷體"/>
                <w:bCs/>
                <w:color w:val="FF0000"/>
                <w:sz w:val="24"/>
                <w:u w:val="single"/>
              </w:rPr>
              <w:t>及格</w:t>
            </w:r>
            <w:r>
              <w:rPr>
                <w:rFonts w:ascii="標楷體" w:hAnsi="標楷體"/>
                <w:bCs/>
                <w:sz w:val="24"/>
              </w:rPr>
              <w:t>者</w:t>
            </w:r>
            <w:r>
              <w:rPr>
                <w:rFonts w:ascii="標楷體" w:hAnsi="標楷體"/>
                <w:bCs/>
                <w:color w:val="FF0000"/>
                <w:sz w:val="24"/>
                <w:u w:val="single"/>
              </w:rPr>
              <w:t>送院級教評會審議。</w:t>
            </w:r>
          </w:p>
          <w:p w:rsidR="008975FA" w:rsidRDefault="00097B3A">
            <w:pPr>
              <w:ind w:left="770" w:hanging="485"/>
              <w:rPr>
                <w:rFonts w:ascii="標楷體" w:hAnsi="標楷體"/>
                <w:bCs/>
                <w:color w:val="FF0000"/>
                <w:sz w:val="24"/>
                <w:u w:val="single"/>
              </w:rPr>
            </w:pPr>
            <w:r>
              <w:rPr>
                <w:rFonts w:ascii="標楷體" w:hAnsi="標楷體"/>
                <w:bCs/>
                <w:color w:val="FF0000"/>
                <w:sz w:val="24"/>
                <w:u w:val="single"/>
              </w:rPr>
              <w:t>(</w:t>
            </w:r>
            <w:r>
              <w:rPr>
                <w:rFonts w:ascii="標楷體" w:hAnsi="標楷體"/>
                <w:bCs/>
                <w:color w:val="FF0000"/>
                <w:sz w:val="24"/>
                <w:u w:val="single"/>
              </w:rPr>
              <w:t>四</w:t>
            </w:r>
            <w:r>
              <w:rPr>
                <w:rFonts w:ascii="標楷體" w:hAnsi="標楷體"/>
                <w:bCs/>
                <w:color w:val="FF0000"/>
                <w:sz w:val="24"/>
                <w:u w:val="single"/>
              </w:rPr>
              <w:t>)</w:t>
            </w:r>
            <w:r>
              <w:rPr>
                <w:rFonts w:ascii="標楷體" w:hAnsi="標楷體"/>
                <w:bCs/>
                <w:color w:val="FF0000"/>
                <w:sz w:val="24"/>
                <w:u w:val="single"/>
              </w:rPr>
              <w:t>申請升等教師於本系教評會辦理審議前，得敘明理由提出著作審查三人以內之迴避名單。未於期限內提出者，不得補提。</w:t>
            </w:r>
          </w:p>
          <w:p w:rsidR="008975FA" w:rsidRDefault="00097B3A">
            <w:pPr>
              <w:ind w:left="770" w:hanging="485"/>
              <w:rPr>
                <w:rFonts w:ascii="標楷體" w:hAnsi="標楷體"/>
                <w:bCs/>
                <w:color w:val="FF0000"/>
                <w:sz w:val="24"/>
                <w:u w:val="single"/>
              </w:rPr>
            </w:pPr>
            <w:r>
              <w:rPr>
                <w:rFonts w:ascii="標楷體" w:hAnsi="標楷體"/>
                <w:bCs/>
                <w:color w:val="FF0000"/>
                <w:sz w:val="24"/>
                <w:u w:val="single"/>
              </w:rPr>
              <w:t xml:space="preserve"> (</w:t>
            </w:r>
            <w:r>
              <w:rPr>
                <w:rFonts w:ascii="標楷體" w:hAnsi="標楷體"/>
                <w:bCs/>
                <w:color w:val="FF0000"/>
                <w:sz w:val="24"/>
                <w:u w:val="single"/>
              </w:rPr>
              <w:t>五</w:t>
            </w:r>
            <w:r>
              <w:rPr>
                <w:rFonts w:ascii="標楷體" w:hAnsi="標楷體"/>
                <w:bCs/>
                <w:color w:val="FF0000"/>
                <w:sz w:val="24"/>
                <w:u w:val="single"/>
              </w:rPr>
              <w:t>)</w:t>
            </w:r>
            <w:r>
              <w:rPr>
                <w:rFonts w:ascii="標楷體" w:hAnsi="標楷體"/>
                <w:bCs/>
                <w:color w:val="FF0000"/>
                <w:sz w:val="24"/>
                <w:u w:val="single"/>
              </w:rPr>
              <w:t>未通過申請升等教師不得於原提申請升等日起一年內再度提出升等申請。</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75FA" w:rsidRDefault="00097B3A">
            <w:pPr>
              <w:pStyle w:val="Web"/>
              <w:spacing w:before="0" w:after="0" w:line="0" w:lineRule="atLeast"/>
              <w:ind w:left="360" w:hanging="360"/>
            </w:pPr>
            <w:r>
              <w:rPr>
                <w:rFonts w:ascii="標楷體" w:eastAsia="標楷體" w:hAnsi="標楷體" w:cs="Times New Roman"/>
                <w:bCs/>
                <w:u w:val="single"/>
              </w:rPr>
              <w:t>六</w:t>
            </w:r>
            <w:r>
              <w:rPr>
                <w:rFonts w:ascii="標楷體" w:eastAsia="標楷體" w:hAnsi="標楷體" w:cs="Times New Roman"/>
                <w:bCs/>
              </w:rPr>
              <w:t>、申請升等，教師應於</w:t>
            </w:r>
            <w:r>
              <w:rPr>
                <w:rFonts w:ascii="標楷體" w:eastAsia="標楷體" w:hAnsi="標楷體" w:cs="Times New Roman"/>
                <w:bCs/>
                <w:u w:val="single"/>
              </w:rPr>
              <w:t>九月一日或三月一日</w:t>
            </w:r>
            <w:r>
              <w:rPr>
                <w:rFonts w:ascii="標楷體" w:eastAsia="標楷體" w:hAnsi="標楷體" w:cs="Times New Roman"/>
                <w:bCs/>
              </w:rPr>
              <w:t>前填具本校教師升等申請表，經本系、人文學院及人事室就升等資格檢核通過後，</w:t>
            </w:r>
            <w:r>
              <w:rPr>
                <w:rFonts w:ascii="標楷體" w:eastAsia="標楷體" w:hAnsi="標楷體" w:cs="Times New Roman"/>
                <w:bCs/>
                <w:u w:val="single"/>
              </w:rPr>
              <w:t>於十月一日或四月一日前，</w:t>
            </w:r>
            <w:r>
              <w:rPr>
                <w:rFonts w:ascii="標楷體" w:eastAsia="標楷體" w:hAnsi="標楷體" w:cs="Times New Roman"/>
                <w:bCs/>
              </w:rPr>
              <w:t>依其申請升等類型，填具本校教師升等案件檢核表、教師升等成績檢核表並檢具相關資料</w:t>
            </w:r>
            <w:r>
              <w:rPr>
                <w:rFonts w:ascii="標楷體" w:eastAsia="標楷體" w:hAnsi="標楷體" w:cs="Times New Roman"/>
                <w:bCs/>
                <w:u w:val="single"/>
              </w:rPr>
              <w:t>送本系教師評審委員會辦理初審。</w:t>
            </w:r>
          </w:p>
          <w:p w:rsidR="008975FA" w:rsidRDefault="00097B3A">
            <w:pPr>
              <w:pStyle w:val="Web"/>
              <w:spacing w:before="0" w:after="0" w:line="0" w:lineRule="atLeast"/>
              <w:ind w:left="360" w:hanging="360"/>
            </w:pPr>
            <w:r>
              <w:rPr>
                <w:rFonts w:ascii="標楷體" w:eastAsia="標楷體" w:hAnsi="標楷體" w:cs="Times New Roman"/>
                <w:bCs/>
              </w:rPr>
              <w:t xml:space="preserve">    </w:t>
            </w:r>
            <w:r>
              <w:rPr>
                <w:rFonts w:ascii="標楷體" w:eastAsia="標楷體" w:hAnsi="標楷體" w:cs="Times New Roman"/>
                <w:bCs/>
                <w:noProof/>
                <w:szCs w:val="22"/>
              </w:rPr>
              <mc:AlternateContent>
                <mc:Choice Requires="wps">
                  <w:drawing>
                    <wp:anchor distT="0" distB="0" distL="114300" distR="114300" simplePos="0" relativeHeight="251663360" behindDoc="0" locked="0" layoutInCell="1" allowOverlap="1">
                      <wp:simplePos x="0" y="0"/>
                      <wp:positionH relativeFrom="column">
                        <wp:posOffset>8991596</wp:posOffset>
                      </wp:positionH>
                      <wp:positionV relativeFrom="paragraph">
                        <wp:posOffset>1028700</wp:posOffset>
                      </wp:positionV>
                      <wp:extent cx="609603" cy="2057400"/>
                      <wp:effectExtent l="0" t="0" r="0" b="0"/>
                      <wp:wrapNone/>
                      <wp:docPr id="3" name="文字方塊 10"/>
                      <wp:cNvGraphicFramePr/>
                      <a:graphic xmlns:a="http://schemas.openxmlformats.org/drawingml/2006/main">
                        <a:graphicData uri="http://schemas.microsoft.com/office/word/2010/wordprocessingShape">
                          <wps:wsp>
                            <wps:cNvSpPr txBox="1"/>
                            <wps:spPr>
                              <a:xfrm>
                                <a:off x="0" y="0"/>
                                <a:ext cx="609603" cy="2057400"/>
                              </a:xfrm>
                              <a:prstGeom prst="rect">
                                <a:avLst/>
                              </a:prstGeom>
                              <a:noFill/>
                              <a:ln>
                                <a:noFill/>
                                <a:prstDash/>
                              </a:ln>
                            </wps:spPr>
                            <wps:txbx>
                              <w:txbxContent>
                                <w:p w:rsidR="008975FA" w:rsidRDefault="00097B3A">
                                  <w:r>
                                    <w:t xml:space="preserve">　－</w:t>
                                  </w:r>
                                  <w:r>
                                    <w:t>44</w:t>
                                  </w:r>
                                  <w:r>
                                    <w:t>－</w:t>
                                  </w:r>
                                </w:p>
                              </w:txbxContent>
                            </wps:txbx>
                            <wps:bodyPr vert="horz" wrap="square" lIns="91440" tIns="45720" rIns="91440" bIns="45720" anchor="t" anchorCtr="0" compatLnSpc="0">
                              <a:noAutofit/>
                            </wps:bodyPr>
                          </wps:wsp>
                        </a:graphicData>
                      </a:graphic>
                    </wp:anchor>
                  </w:drawing>
                </mc:Choice>
                <mc:Fallback>
                  <w:pict>
                    <v:shape id="文字方塊 10" o:spid="_x0000_s1028" type="#_x0000_t202" style="position:absolute;left:0;text-align:left;margin-left:708pt;margin-top:81pt;width:48pt;height:162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wFT6wEAAJ0DAAAOAAAAZHJzL2Uyb0RvYy54bWysU11uEzEQfkfiDpbfyW6WNKWrbCogKkKq&#10;ACnlAI7Xzlpae4ztZDdcAIkDtM8cgANwoPYcHXvTJCpviBev58cz833z7eyy1y3ZCucVmIqORzkl&#10;wnColVlX9OvN1as3lPjATM1aMKKiO+Hp5fzli1lnS1FAA20tHMEixpedrWgTgi2zzPNGaOZHYIXB&#10;oASnWUDTrbPasQ6r6zYr8nyadeBq64AL79G7GIJ0nupLKXj4LKUXgbQVxdlCOl06V/HM5jNWrh2z&#10;jeL7Mdg/TKGZMtj0UGrBAiMbp/4qpRV34EGGEQedgZSKi4QB0YzzZ2iWDbMiYUFyvD3Q5P9fWf5p&#10;+8URVVf0NSWGaVzRw+2P+993D7d/7n/9JONEUWd9iZlLi7mhfwc9rjpSF/0enRF5L52OX8REMI5k&#10;7w4Eiz4Qjs5pfjHNsRHHUJGfnU/yVD47vrbOhw8CNImXijpcYOKVba99wI6Y+pQSmxm4Um2bltia&#10;Z46Yt2C+GV7FcHacN95Cv+oT9OIJywrqHUJEPWPvBtx3SjrURkX9tw1zgpL2o0HyL8aTSRRTMiZn&#10;5wUa7jSyOo0ww7FURQMlw/V9GASICrAsXJul5ZGpYfy3mwBSJahxxmGi/eiogcTAXq9RZKd2yjr+&#10;VfNHAAAA//8DAFBLAwQUAAYACAAAACEAiqO79NwAAAANAQAADwAAAGRycy9kb3ducmV2LnhtbExP&#10;y07DMBC8I/EP1iL1Ru1UaVRCnKoq4lpEeUjc3HibRMTrKHab8PdsTnCb0YzmUWwn14krDqH1pCFZ&#10;KhBIlbct1Rre357vNyBCNGRN5wk1/GCAbXl7U5jc+pFe8XqMteAQCrnR0MTY51KGqkFnwtL3SKyd&#10;/eBMZDrU0g5m5HDXyZVSmXSmJW5oTI/7Bqvv48Vp+Dicvz5T9VI/uXU/+klJcg9S68XdtHsEEXGK&#10;f2aY5/N0KHnTyV/IBtExT5OMz0RG2YrBbFknMzppSDesybKQ/1+UvwAAAP//AwBQSwECLQAUAAYA&#10;CAAAACEAtoM4kv4AAADhAQAAEwAAAAAAAAAAAAAAAAAAAAAAW0NvbnRlbnRfVHlwZXNdLnhtbFBL&#10;AQItABQABgAIAAAAIQA4/SH/1gAAAJQBAAALAAAAAAAAAAAAAAAAAC8BAABfcmVscy8ucmVsc1BL&#10;AQItABQABgAIAAAAIQBbUwFT6wEAAJ0DAAAOAAAAAAAAAAAAAAAAAC4CAABkcnMvZTJvRG9jLnht&#10;bFBLAQItABQABgAIAAAAIQCKo7v03AAAAA0BAAAPAAAAAAAAAAAAAAAAAEUEAABkcnMvZG93bnJl&#10;di54bWxQSwUGAAAAAAQABADzAAAATgUAAAAA&#10;" filled="f" stroked="f">
                      <v:textbox>
                        <w:txbxContent>
                          <w:p w:rsidR="008975FA" w:rsidRDefault="00097B3A">
                            <w:r>
                              <w:t xml:space="preserve">　－</w:t>
                            </w:r>
                            <w:r>
                              <w:t>44</w:t>
                            </w:r>
                            <w:r>
                              <w:t>－</w:t>
                            </w:r>
                          </w:p>
                        </w:txbxContent>
                      </v:textbox>
                    </v:shape>
                  </w:pict>
                </mc:Fallback>
              </mc:AlternateContent>
            </w:r>
            <w:r>
              <w:rPr>
                <w:rFonts w:ascii="標楷體" w:eastAsia="標楷體" w:hAnsi="標楷體" w:cs="Times New Roman"/>
                <w:bCs/>
              </w:rPr>
              <w:t>本系</w:t>
            </w:r>
            <w:r>
              <w:rPr>
                <w:rFonts w:ascii="標楷體" w:eastAsia="標楷體" w:hAnsi="標楷體" w:cs="Times New Roman"/>
                <w:bCs/>
                <w:u w:val="single"/>
              </w:rPr>
              <w:t>教師評審委員會</w:t>
            </w:r>
            <w:r>
              <w:rPr>
                <w:rFonts w:ascii="標楷體" w:eastAsia="標楷體" w:hAnsi="標楷體" w:cs="Times New Roman"/>
                <w:bCs/>
              </w:rPr>
              <w:t>應</w:t>
            </w:r>
            <w:r>
              <w:rPr>
                <w:rFonts w:ascii="標楷體" w:eastAsia="標楷體" w:hAnsi="標楷體" w:cs="Times New Roman"/>
                <w:bCs/>
                <w:u w:val="single"/>
              </w:rPr>
              <w:t>於十一月一日或五月一日前，</w:t>
            </w:r>
            <w:r>
              <w:rPr>
                <w:rFonts w:ascii="標楷體" w:eastAsia="標楷體" w:hAnsi="標楷體" w:cs="Times New Roman"/>
                <w:bCs/>
              </w:rPr>
              <w:t>審議申請</w:t>
            </w:r>
            <w:r>
              <w:rPr>
                <w:rFonts w:ascii="標楷體" w:eastAsia="標楷體" w:hAnsi="標楷體" w:cs="Times New Roman"/>
                <w:bCs/>
                <w:kern w:val="3"/>
              </w:rPr>
              <w:t>升等教師是否符合本系升等門檻，經審議</w:t>
            </w:r>
            <w:r>
              <w:rPr>
                <w:rFonts w:ascii="標楷體" w:eastAsia="標楷體" w:hAnsi="標楷體" w:cs="Times New Roman"/>
                <w:bCs/>
                <w:kern w:val="3"/>
                <w:u w:val="single"/>
              </w:rPr>
              <w:t>通過</w:t>
            </w:r>
            <w:r>
              <w:rPr>
                <w:rFonts w:ascii="標楷體" w:eastAsia="標楷體" w:hAnsi="標楷體" w:cs="Times New Roman"/>
                <w:bCs/>
                <w:kern w:val="3"/>
              </w:rPr>
              <w:t>者</w:t>
            </w:r>
            <w:r>
              <w:rPr>
                <w:rFonts w:ascii="標楷體" w:eastAsia="標楷體" w:hAnsi="標楷體" w:cs="Times New Roman"/>
                <w:bCs/>
                <w:kern w:val="3"/>
                <w:u w:val="single"/>
              </w:rPr>
              <w:t>辦理外審作業。並於一月一日或七月一日前就申請升等教師之研究、教學、輔導及服務成績逐項審議教師申請升等成績，經審議及格者送人文學院教評會複審。</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75FA" w:rsidRDefault="00097B3A">
            <w:pPr>
              <w:pStyle w:val="a5"/>
              <w:numPr>
                <w:ilvl w:val="0"/>
                <w:numId w:val="3"/>
              </w:numPr>
              <w:spacing w:line="0" w:lineRule="atLeast"/>
              <w:jc w:val="left"/>
              <w:rPr>
                <w:rFonts w:ascii="標楷體" w:hAnsi="標楷體"/>
              </w:rPr>
            </w:pPr>
            <w:r>
              <w:rPr>
                <w:rFonts w:ascii="標楷體" w:hAnsi="標楷體"/>
              </w:rPr>
              <w:t>配合校、院級法規修正期程及執行方式。</w:t>
            </w:r>
          </w:p>
          <w:p w:rsidR="008975FA" w:rsidRDefault="00097B3A">
            <w:pPr>
              <w:pStyle w:val="a5"/>
              <w:numPr>
                <w:ilvl w:val="0"/>
                <w:numId w:val="3"/>
              </w:numPr>
              <w:spacing w:line="0" w:lineRule="atLeast"/>
              <w:jc w:val="left"/>
              <w:rPr>
                <w:rFonts w:ascii="標楷體" w:hAnsi="標楷體"/>
              </w:rPr>
            </w:pPr>
            <w:r>
              <w:rPr>
                <w:rFonts w:ascii="標楷體" w:hAnsi="標楷體"/>
              </w:rPr>
              <w:t>修正條次，程序、規定等說明併入本條。</w:t>
            </w:r>
          </w:p>
        </w:tc>
      </w:tr>
      <w:tr w:rsidR="008975FA">
        <w:tblPrEx>
          <w:tblCellMar>
            <w:top w:w="0" w:type="dxa"/>
            <w:bottom w:w="0" w:type="dxa"/>
          </w:tblCellMar>
        </w:tblPrEx>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75FA" w:rsidRDefault="008975FA">
            <w:pPr>
              <w:pStyle w:val="Web"/>
              <w:tabs>
                <w:tab w:val="left" w:pos="1824"/>
              </w:tabs>
              <w:spacing w:before="0" w:after="0" w:line="0" w:lineRule="atLeast"/>
              <w:ind w:left="360" w:hanging="360"/>
              <w:rPr>
                <w:rFonts w:ascii="標楷體" w:eastAsia="標楷體" w:hAnsi="標楷體" w:cs="Times New Roman"/>
                <w:bCs/>
                <w:color w:val="FF0000"/>
                <w:szCs w:val="22"/>
                <w:u w:val="single"/>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75FA" w:rsidRDefault="00097B3A">
            <w:pPr>
              <w:pStyle w:val="Web"/>
              <w:spacing w:before="0" w:after="0" w:line="0" w:lineRule="atLeast"/>
              <w:ind w:left="360" w:hanging="360"/>
              <w:rPr>
                <w:rFonts w:ascii="標楷體" w:eastAsia="標楷體" w:hAnsi="標楷體" w:cs="Times New Roman"/>
                <w:bCs/>
                <w:szCs w:val="22"/>
                <w:u w:val="single"/>
              </w:rPr>
            </w:pPr>
            <w:r>
              <w:rPr>
                <w:rFonts w:ascii="標楷體" w:eastAsia="標楷體" w:hAnsi="標楷體" w:cs="Times New Roman"/>
                <w:bCs/>
                <w:szCs w:val="22"/>
                <w:u w:val="single"/>
              </w:rPr>
              <w:t>七、教師升等著作資料於本系教師評審委員會審議前，應公開展示一週以上並通知本系教評會委員得先行閱覽。</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75FA" w:rsidRDefault="00097B3A">
            <w:pPr>
              <w:spacing w:line="0" w:lineRule="atLeast"/>
              <w:rPr>
                <w:rFonts w:ascii="標楷體" w:hAnsi="標楷體"/>
                <w:sz w:val="24"/>
                <w:szCs w:val="22"/>
              </w:rPr>
            </w:pPr>
            <w:r>
              <w:rPr>
                <w:rFonts w:ascii="標楷體" w:hAnsi="標楷體"/>
                <w:sz w:val="24"/>
                <w:szCs w:val="22"/>
              </w:rPr>
              <w:t>調整至第四條第二項。</w:t>
            </w:r>
          </w:p>
        </w:tc>
      </w:tr>
      <w:tr w:rsidR="008975FA">
        <w:tblPrEx>
          <w:tblCellMar>
            <w:top w:w="0" w:type="dxa"/>
            <w:bottom w:w="0" w:type="dxa"/>
          </w:tblCellMar>
        </w:tblPrEx>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75FA" w:rsidRDefault="00097B3A">
            <w:pPr>
              <w:pStyle w:val="Web"/>
              <w:tabs>
                <w:tab w:val="left" w:pos="1824"/>
              </w:tabs>
              <w:spacing w:before="0" w:after="0" w:line="0" w:lineRule="atLeast"/>
              <w:ind w:left="360" w:hanging="360"/>
            </w:pPr>
            <w:r>
              <w:rPr>
                <w:rFonts w:ascii="標楷體" w:eastAsia="標楷體" w:hAnsi="標楷體" w:cs="Times New Roman"/>
                <w:bCs/>
                <w:color w:val="FF0000"/>
                <w:u w:val="single"/>
              </w:rPr>
              <w:t>五</w:t>
            </w:r>
            <w:r>
              <w:rPr>
                <w:rFonts w:ascii="標楷體" w:eastAsia="標楷體" w:hAnsi="標楷體" w:cs="Times New Roman"/>
                <w:bCs/>
                <w:color w:val="FF0000"/>
                <w:u w:val="single"/>
              </w:rPr>
              <w:t>、本要點未規定事項，悉依本校教師升等審議辦法及本院教師升等審議準則規定辦理。</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75FA" w:rsidRDefault="00097B3A">
            <w:pPr>
              <w:pStyle w:val="Web"/>
              <w:spacing w:before="0" w:after="0" w:line="0" w:lineRule="atLeast"/>
              <w:ind w:left="360" w:hanging="360"/>
            </w:pPr>
            <w:r>
              <w:rPr>
                <w:rFonts w:ascii="標楷體" w:eastAsia="標楷體" w:hAnsi="標楷體" w:cs="Times New Roman"/>
                <w:bCs/>
              </w:rPr>
              <w:t>八</w:t>
            </w:r>
            <w:r>
              <w:rPr>
                <w:rFonts w:ascii="標楷體" w:eastAsia="標楷體" w:hAnsi="標楷體" w:cs="Times New Roman"/>
                <w:bCs/>
                <w:u w:val="single"/>
              </w:rPr>
              <w:t>、申請升等教師於本系辦理其外審作業前，得以書面撤回升等申請。未於期限內申請撤回者，不予受理。</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75FA" w:rsidRDefault="00097B3A">
            <w:pPr>
              <w:spacing w:line="0" w:lineRule="atLeast"/>
              <w:rPr>
                <w:sz w:val="24"/>
              </w:rPr>
            </w:pPr>
            <w:r>
              <w:rPr>
                <w:sz w:val="24"/>
              </w:rPr>
              <w:t>修正說明，回歸校及院及規定。</w:t>
            </w:r>
          </w:p>
        </w:tc>
      </w:tr>
      <w:tr w:rsidR="008975FA">
        <w:tblPrEx>
          <w:tblCellMar>
            <w:top w:w="0" w:type="dxa"/>
            <w:bottom w:w="0" w:type="dxa"/>
          </w:tblCellMar>
        </w:tblPrEx>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75FA" w:rsidRDefault="00097B3A">
            <w:pPr>
              <w:pStyle w:val="Web"/>
              <w:tabs>
                <w:tab w:val="left" w:pos="1824"/>
              </w:tabs>
              <w:spacing w:before="0" w:after="0" w:line="0" w:lineRule="atLeast"/>
              <w:ind w:left="360" w:hanging="360"/>
            </w:pPr>
            <w:r>
              <w:rPr>
                <w:rFonts w:ascii="標楷體" w:eastAsia="標楷體" w:hAnsi="標楷體" w:cs="Times New Roman"/>
                <w:bCs/>
                <w:color w:val="FF0000"/>
                <w:u w:val="single"/>
              </w:rPr>
              <w:lastRenderedPageBreak/>
              <w:t>六</w:t>
            </w:r>
            <w:r>
              <w:rPr>
                <w:rFonts w:ascii="標楷體" w:eastAsia="標楷體" w:hAnsi="標楷體" w:cs="Times New Roman"/>
                <w:bCs/>
              </w:rPr>
              <w:t>、本要點經系務會議通過，送</w:t>
            </w:r>
            <w:r>
              <w:rPr>
                <w:rFonts w:ascii="標楷體" w:eastAsia="標楷體" w:hAnsi="標楷體" w:cs="Times New Roman"/>
                <w:bCs/>
                <w:color w:val="FF0000"/>
                <w:u w:val="single"/>
              </w:rPr>
              <w:t>本</w:t>
            </w:r>
            <w:r>
              <w:rPr>
                <w:rFonts w:ascii="標楷體" w:eastAsia="標楷體" w:hAnsi="標楷體" w:cs="Times New Roman"/>
                <w:bCs/>
              </w:rPr>
              <w:t>院教師評審委員會備查，經校長核定後施行，修正時亦同。</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75FA" w:rsidRDefault="00097B3A">
            <w:pPr>
              <w:pStyle w:val="Web"/>
              <w:spacing w:before="0" w:after="0" w:line="0" w:lineRule="atLeast"/>
              <w:ind w:left="360" w:hanging="360"/>
            </w:pPr>
            <w:r>
              <w:rPr>
                <w:rFonts w:ascii="標楷體" w:eastAsia="標楷體" w:hAnsi="標楷體" w:cs="Times New Roman"/>
                <w:bCs/>
              </w:rPr>
              <w:t>九</w:t>
            </w:r>
            <w:r>
              <w:rPr>
                <w:rFonts w:ascii="標楷體" w:eastAsia="標楷體" w:hAnsi="標楷體" w:cs="Times New Roman"/>
                <w:bCs/>
                <w:u w:val="single"/>
              </w:rPr>
              <w:t>、本系申請升等之教師，如不服初審之決議，得向本系教評會提出申覆。教師申覆，應於收到決議通知書之日起二週內，以書面為之。</w:t>
            </w:r>
          </w:p>
          <w:p w:rsidR="008975FA" w:rsidRDefault="00097B3A">
            <w:pPr>
              <w:pStyle w:val="Web"/>
              <w:spacing w:before="0" w:after="0" w:line="0" w:lineRule="atLeast"/>
              <w:ind w:left="360" w:hanging="360"/>
            </w:pPr>
            <w:r>
              <w:rPr>
                <w:rFonts w:ascii="標楷體" w:eastAsia="標楷體" w:hAnsi="標楷體" w:cs="Times New Roman"/>
                <w:bCs/>
              </w:rPr>
              <w:t xml:space="preserve">　</w:t>
            </w:r>
            <w:r>
              <w:rPr>
                <w:rFonts w:ascii="標楷體" w:eastAsia="標楷體" w:hAnsi="標楷體" w:cs="Times New Roman"/>
                <w:bCs/>
              </w:rPr>
              <w:t xml:space="preserve"> </w:t>
            </w:r>
            <w:r>
              <w:rPr>
                <w:rFonts w:ascii="標楷體" w:eastAsia="標楷體" w:hAnsi="標楷體" w:cs="Times New Roman"/>
                <w:bCs/>
                <w:u w:val="single"/>
              </w:rPr>
              <w:t>若經本系教評會覆議維持原決議，申請人仍不服，則直接向本校申訴評議委員會申訴。</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75FA" w:rsidRDefault="00097B3A">
            <w:pPr>
              <w:pStyle w:val="a5"/>
              <w:numPr>
                <w:ilvl w:val="0"/>
                <w:numId w:val="4"/>
              </w:numPr>
              <w:spacing w:line="0" w:lineRule="atLeast"/>
              <w:jc w:val="left"/>
              <w:rPr>
                <w:rFonts w:ascii="標楷體" w:hAnsi="標楷體"/>
                <w:szCs w:val="22"/>
              </w:rPr>
            </w:pPr>
            <w:r>
              <w:rPr>
                <w:rFonts w:ascii="標楷體" w:hAnsi="標楷體"/>
                <w:szCs w:val="22"/>
              </w:rPr>
              <w:t>刪除說明，依校、院級規定辦理。</w:t>
            </w:r>
          </w:p>
          <w:p w:rsidR="008975FA" w:rsidRDefault="00097B3A">
            <w:pPr>
              <w:pStyle w:val="a5"/>
              <w:numPr>
                <w:ilvl w:val="0"/>
                <w:numId w:val="4"/>
              </w:numPr>
              <w:spacing w:line="0" w:lineRule="atLeast"/>
              <w:jc w:val="left"/>
              <w:rPr>
                <w:rFonts w:ascii="標楷體" w:hAnsi="標楷體"/>
                <w:szCs w:val="22"/>
              </w:rPr>
            </w:pPr>
            <w:r>
              <w:rPr>
                <w:rFonts w:ascii="標楷體" w:hAnsi="標楷體"/>
                <w:szCs w:val="22"/>
              </w:rPr>
              <w:t>調整條次。</w:t>
            </w:r>
          </w:p>
        </w:tc>
      </w:tr>
      <w:tr w:rsidR="008975FA">
        <w:tblPrEx>
          <w:tblCellMar>
            <w:top w:w="0" w:type="dxa"/>
            <w:bottom w:w="0" w:type="dxa"/>
          </w:tblCellMar>
        </w:tblPrEx>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75FA" w:rsidRDefault="008975FA">
            <w:pPr>
              <w:pStyle w:val="Web"/>
              <w:tabs>
                <w:tab w:val="left" w:pos="1824"/>
              </w:tabs>
              <w:spacing w:before="0" w:after="0" w:line="0" w:lineRule="atLeast"/>
              <w:ind w:left="360" w:hanging="360"/>
              <w:rPr>
                <w:rFonts w:ascii="標楷體" w:eastAsia="標楷體" w:hAnsi="標楷體" w:cs="Times New Roman"/>
                <w:bCs/>
                <w:color w:val="FF0000"/>
                <w:u w:val="single"/>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75FA" w:rsidRDefault="00097B3A">
            <w:pPr>
              <w:pStyle w:val="Web"/>
              <w:spacing w:before="0" w:after="0" w:line="0" w:lineRule="atLeast"/>
              <w:ind w:left="360" w:hanging="360"/>
              <w:rPr>
                <w:rFonts w:ascii="標楷體" w:eastAsia="標楷體" w:hAnsi="標楷體" w:cs="Times New Roman"/>
                <w:bCs/>
                <w:u w:val="single"/>
              </w:rPr>
            </w:pPr>
            <w:r>
              <w:rPr>
                <w:rFonts w:ascii="標楷體" w:eastAsia="標楷體" w:hAnsi="標楷體" w:cs="Times New Roman"/>
                <w:bCs/>
                <w:u w:val="single"/>
              </w:rPr>
              <w:t>十、未通過申請升等教師不得於原提申請升等日起一年內再度提出升等申請。</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75FA" w:rsidRDefault="00097B3A">
            <w:pPr>
              <w:spacing w:line="0" w:lineRule="atLeast"/>
            </w:pPr>
            <w:r>
              <w:rPr>
                <w:rFonts w:ascii="標楷體" w:hAnsi="標楷體"/>
                <w:sz w:val="24"/>
              </w:rPr>
              <w:t>調整至第四條</w:t>
            </w:r>
            <w:r>
              <w:rPr>
                <w:rFonts w:ascii="標楷體" w:hAnsi="標楷體"/>
                <w:sz w:val="24"/>
                <w:szCs w:val="22"/>
              </w:rPr>
              <w:t>第五項。</w:t>
            </w:r>
            <w:r>
              <w:rPr>
                <w:rFonts w:ascii="標楷體" w:hAnsi="標楷體"/>
                <w:sz w:val="24"/>
              </w:rPr>
              <w:t>。</w:t>
            </w:r>
          </w:p>
        </w:tc>
      </w:tr>
      <w:tr w:rsidR="008975FA">
        <w:tblPrEx>
          <w:tblCellMar>
            <w:top w:w="0" w:type="dxa"/>
            <w:bottom w:w="0" w:type="dxa"/>
          </w:tblCellMar>
        </w:tblPrEx>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75FA" w:rsidRDefault="008975FA">
            <w:pPr>
              <w:pStyle w:val="Web"/>
              <w:tabs>
                <w:tab w:val="left" w:pos="1824"/>
              </w:tabs>
              <w:spacing w:before="0" w:after="0" w:line="0" w:lineRule="atLeast"/>
              <w:ind w:left="360" w:hanging="360"/>
              <w:rPr>
                <w:rFonts w:ascii="標楷體" w:eastAsia="標楷體" w:hAnsi="標楷體" w:cs="Times New Roman"/>
                <w:bCs/>
                <w:color w:val="FF0000"/>
                <w:u w:val="single"/>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75FA" w:rsidRDefault="00097B3A">
            <w:pPr>
              <w:pStyle w:val="Web"/>
              <w:spacing w:before="0" w:after="0" w:line="0" w:lineRule="atLeast"/>
              <w:ind w:left="360" w:hanging="360"/>
              <w:rPr>
                <w:rFonts w:ascii="標楷體" w:eastAsia="標楷體" w:hAnsi="標楷體" w:cs="Times New Roman"/>
                <w:bCs/>
                <w:u w:val="single"/>
              </w:rPr>
            </w:pPr>
            <w:r>
              <w:rPr>
                <w:rFonts w:ascii="標楷體" w:eastAsia="標楷體" w:hAnsi="標楷體" w:cs="Times New Roman"/>
                <w:bCs/>
                <w:u w:val="single"/>
              </w:rPr>
              <w:t>十一、本要點經系務會議通過，送人文學院教師評審委員會備查，經校長核定後施行，修正時亦同。</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75FA" w:rsidRDefault="00097B3A">
            <w:pPr>
              <w:spacing w:line="0" w:lineRule="atLeast"/>
              <w:rPr>
                <w:rFonts w:ascii="標楷體" w:hAnsi="標楷體"/>
                <w:sz w:val="24"/>
              </w:rPr>
            </w:pPr>
            <w:r>
              <w:rPr>
                <w:rFonts w:ascii="標楷體" w:hAnsi="標楷體"/>
                <w:sz w:val="24"/>
              </w:rPr>
              <w:t>調整至第六條。</w:t>
            </w:r>
          </w:p>
        </w:tc>
      </w:tr>
    </w:tbl>
    <w:p w:rsidR="008975FA" w:rsidRDefault="008975FA">
      <w:pPr>
        <w:spacing w:line="480" w:lineRule="exact"/>
        <w:rPr>
          <w:rFonts w:ascii="標楷體" w:hAnsi="標楷體"/>
          <w:sz w:val="28"/>
          <w:szCs w:val="28"/>
        </w:rPr>
      </w:pPr>
    </w:p>
    <w:p w:rsidR="008975FA" w:rsidRDefault="008975FA">
      <w:pPr>
        <w:widowControl/>
        <w:rPr>
          <w:rFonts w:ascii="標楷體" w:hAnsi="標楷體"/>
          <w:sz w:val="28"/>
          <w:szCs w:val="28"/>
        </w:rPr>
      </w:pPr>
    </w:p>
    <w:sectPr w:rsidR="008975FA">
      <w:pgSz w:w="11920" w:h="16840"/>
      <w:pgMar w:top="1440" w:right="1080" w:bottom="1440" w:left="108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7B3A" w:rsidRDefault="00097B3A">
      <w:r>
        <w:separator/>
      </w:r>
    </w:p>
  </w:endnote>
  <w:endnote w:type="continuationSeparator" w:id="0">
    <w:p w:rsidR="00097B3A" w:rsidRDefault="00097B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華康標楷體W5">
    <w:charset w:val="00"/>
    <w:family w:val="modern"/>
    <w:pitch w:val="fixed"/>
  </w:font>
  <w:font w:name="Calibri">
    <w:panose1 w:val="020F05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Arial Unicode MS">
    <w:altName w:val="Arial"/>
    <w:panose1 w:val="020B0604020202020204"/>
    <w:charset w:val="00"/>
    <w:family w:val="swiss"/>
    <w:pitch w:val="variable"/>
  </w:font>
  <w:font w:name="華康隸書體W6">
    <w:charset w:val="00"/>
    <w:family w:val="modern"/>
    <w:pitch w:val="default"/>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7B3A" w:rsidRDefault="00097B3A">
      <w:r>
        <w:rPr>
          <w:color w:val="000000"/>
        </w:rPr>
        <w:separator/>
      </w:r>
    </w:p>
  </w:footnote>
  <w:footnote w:type="continuationSeparator" w:id="0">
    <w:p w:rsidR="00097B3A" w:rsidRDefault="00097B3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B42AF9"/>
    <w:multiLevelType w:val="multilevel"/>
    <w:tmpl w:val="85AA4FB6"/>
    <w:styleLink w:val="LFO1"/>
    <w:lvl w:ilvl="0">
      <w:numFmt w:val="bullet"/>
      <w:pStyle w:val="a"/>
      <w:lvlText w:val=""/>
      <w:lvlJc w:val="left"/>
      <w:pPr>
        <w:ind w:left="1637" w:hanging="360"/>
      </w:pPr>
      <w:rPr>
        <w:rFonts w:ascii="Wingdings" w:hAnsi="Wingdings"/>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6357B4D"/>
    <w:multiLevelType w:val="multilevel"/>
    <w:tmpl w:val="218C5604"/>
    <w:styleLink w:val="LFO2"/>
    <w:lvl w:ilvl="0">
      <w:start w:val="1"/>
      <w:numFmt w:val="taiwaneseCountingThousand"/>
      <w:pStyle w:val="thean"/>
      <w:suff w:val="nothing"/>
      <w:lvlText w:val="提案%1："/>
      <w:lvlJc w:val="left"/>
      <w:pPr>
        <w:ind w:left="1190" w:hanging="480"/>
      </w:pPr>
    </w:lvl>
    <w:lvl w:ilvl="1">
      <w:start w:val="1"/>
      <w:numFmt w:val="ideographTraditional"/>
      <w:lvlText w:val="%2、"/>
      <w:lvlJc w:val="left"/>
      <w:pPr>
        <w:ind w:left="1529" w:hanging="480"/>
      </w:pPr>
    </w:lvl>
    <w:lvl w:ilvl="2">
      <w:start w:val="1"/>
      <w:numFmt w:val="lowerRoman"/>
      <w:lvlText w:val="%3."/>
      <w:lvlJc w:val="right"/>
      <w:pPr>
        <w:ind w:left="2009" w:hanging="480"/>
      </w:pPr>
    </w:lvl>
    <w:lvl w:ilvl="3">
      <w:start w:val="1"/>
      <w:numFmt w:val="decimal"/>
      <w:lvlText w:val="%4."/>
      <w:lvlJc w:val="left"/>
      <w:pPr>
        <w:ind w:left="2489" w:hanging="480"/>
      </w:pPr>
    </w:lvl>
    <w:lvl w:ilvl="4">
      <w:start w:val="1"/>
      <w:numFmt w:val="ideographTraditional"/>
      <w:lvlText w:val="%5、"/>
      <w:lvlJc w:val="left"/>
      <w:pPr>
        <w:ind w:left="2969" w:hanging="480"/>
      </w:pPr>
    </w:lvl>
    <w:lvl w:ilvl="5">
      <w:start w:val="1"/>
      <w:numFmt w:val="lowerRoman"/>
      <w:lvlText w:val="%6."/>
      <w:lvlJc w:val="right"/>
      <w:pPr>
        <w:ind w:left="3449" w:hanging="480"/>
      </w:pPr>
    </w:lvl>
    <w:lvl w:ilvl="6">
      <w:start w:val="1"/>
      <w:numFmt w:val="decimal"/>
      <w:lvlText w:val="%7."/>
      <w:lvlJc w:val="left"/>
      <w:pPr>
        <w:ind w:left="3929" w:hanging="480"/>
      </w:pPr>
    </w:lvl>
    <w:lvl w:ilvl="7">
      <w:start w:val="1"/>
      <w:numFmt w:val="ideographTraditional"/>
      <w:lvlText w:val="%8、"/>
      <w:lvlJc w:val="left"/>
      <w:pPr>
        <w:ind w:left="4409" w:hanging="480"/>
      </w:pPr>
    </w:lvl>
    <w:lvl w:ilvl="8">
      <w:start w:val="1"/>
      <w:numFmt w:val="lowerRoman"/>
      <w:lvlText w:val="%9."/>
      <w:lvlJc w:val="right"/>
      <w:pPr>
        <w:ind w:left="4889" w:hanging="480"/>
      </w:pPr>
    </w:lvl>
  </w:abstractNum>
  <w:abstractNum w:abstractNumId="2" w15:restartNumberingAfterBreak="0">
    <w:nsid w:val="530F3141"/>
    <w:multiLevelType w:val="multilevel"/>
    <w:tmpl w:val="A94A04F2"/>
    <w:lvl w:ilvl="0">
      <w:start w:val="1"/>
      <w:numFmt w:val="taiwaneseCountingThousand"/>
      <w:lvlText w:val="%1、"/>
      <w:lvlJc w:val="left"/>
      <w:pPr>
        <w:ind w:left="371" w:hanging="480"/>
      </w:pPr>
    </w:lvl>
    <w:lvl w:ilvl="1">
      <w:start w:val="1"/>
      <w:numFmt w:val="ideographTraditional"/>
      <w:lvlText w:val="%2、"/>
      <w:lvlJc w:val="left"/>
      <w:pPr>
        <w:ind w:left="851" w:hanging="480"/>
      </w:pPr>
    </w:lvl>
    <w:lvl w:ilvl="2">
      <w:start w:val="1"/>
      <w:numFmt w:val="lowerRoman"/>
      <w:lvlText w:val="%3."/>
      <w:lvlJc w:val="right"/>
      <w:pPr>
        <w:ind w:left="1331" w:hanging="480"/>
      </w:pPr>
    </w:lvl>
    <w:lvl w:ilvl="3">
      <w:start w:val="1"/>
      <w:numFmt w:val="decimal"/>
      <w:lvlText w:val="%4."/>
      <w:lvlJc w:val="left"/>
      <w:pPr>
        <w:ind w:left="1811" w:hanging="480"/>
      </w:pPr>
    </w:lvl>
    <w:lvl w:ilvl="4">
      <w:start w:val="1"/>
      <w:numFmt w:val="ideographTraditional"/>
      <w:lvlText w:val="%5、"/>
      <w:lvlJc w:val="left"/>
      <w:pPr>
        <w:ind w:left="2291" w:hanging="480"/>
      </w:pPr>
    </w:lvl>
    <w:lvl w:ilvl="5">
      <w:start w:val="1"/>
      <w:numFmt w:val="lowerRoman"/>
      <w:lvlText w:val="%6."/>
      <w:lvlJc w:val="right"/>
      <w:pPr>
        <w:ind w:left="2771" w:hanging="480"/>
      </w:pPr>
    </w:lvl>
    <w:lvl w:ilvl="6">
      <w:start w:val="1"/>
      <w:numFmt w:val="decimal"/>
      <w:lvlText w:val="%7."/>
      <w:lvlJc w:val="left"/>
      <w:pPr>
        <w:ind w:left="3251" w:hanging="480"/>
      </w:pPr>
    </w:lvl>
    <w:lvl w:ilvl="7">
      <w:start w:val="1"/>
      <w:numFmt w:val="ideographTraditional"/>
      <w:lvlText w:val="%8、"/>
      <w:lvlJc w:val="left"/>
      <w:pPr>
        <w:ind w:left="3731" w:hanging="480"/>
      </w:pPr>
    </w:lvl>
    <w:lvl w:ilvl="8">
      <w:start w:val="1"/>
      <w:numFmt w:val="lowerRoman"/>
      <w:lvlText w:val="%9."/>
      <w:lvlJc w:val="right"/>
      <w:pPr>
        <w:ind w:left="4211" w:hanging="480"/>
      </w:pPr>
    </w:lvl>
  </w:abstractNum>
  <w:abstractNum w:abstractNumId="3" w15:restartNumberingAfterBreak="0">
    <w:nsid w:val="7B48582A"/>
    <w:multiLevelType w:val="multilevel"/>
    <w:tmpl w:val="18EC6A3A"/>
    <w:lvl w:ilvl="0">
      <w:start w:val="1"/>
      <w:numFmt w:val="taiwaneseCountingThousand"/>
      <w:lvlText w:val="%1、"/>
      <w:lvlJc w:val="left"/>
      <w:pPr>
        <w:ind w:left="480" w:hanging="480"/>
      </w:pPr>
      <w:rPr>
        <w:rFonts w:ascii="標楷體" w:eastAsia="標楷體" w:hAnsi="標楷體"/>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8975FA"/>
    <w:rsid w:val="00097B3A"/>
    <w:rsid w:val="008975FA"/>
    <w:rsid w:val="00B6628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2B47BF-435C-4C79-9782-EAEE440DB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標楷體" w:eastAsia="標楷體" w:hAnsi="標楷體" w:cs="Times New Roman"/>
        <w:kern w:val="3"/>
        <w:sz w:val="24"/>
        <w:szCs w:val="24"/>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pPr>
      <w:widowControl w:val="0"/>
      <w:suppressAutoHyphens/>
    </w:pPr>
    <w:rPr>
      <w:rFonts w:ascii="Times New Roman" w:hAnsi="Times New Roman"/>
      <w:sz w:val="32"/>
    </w:rPr>
  </w:style>
  <w:style w:type="paragraph" w:styleId="1">
    <w:name w:val="heading 1"/>
    <w:basedOn w:val="a0"/>
    <w:next w:val="a0"/>
    <w:pPr>
      <w:keepNext/>
      <w:outlineLvl w:val="0"/>
    </w:pPr>
    <w:rPr>
      <w:rFonts w:eastAsia="新細明體"/>
      <w:sz w:val="24"/>
    </w:rPr>
  </w:style>
  <w:style w:type="paragraph" w:styleId="2">
    <w:name w:val="heading 2"/>
    <w:basedOn w:val="a0"/>
    <w:next w:val="a0"/>
    <w:pPr>
      <w:keepNext/>
      <w:jc w:val="center"/>
      <w:outlineLvl w:val="1"/>
    </w:pPr>
    <w:rPr>
      <w:rFonts w:ascii="Cambria" w:hAnsi="Cambria"/>
      <w:b/>
      <w:bCs/>
      <w:szCs w:val="48"/>
    </w:rPr>
  </w:style>
  <w:style w:type="paragraph" w:styleId="3">
    <w:name w:val="heading 3"/>
    <w:basedOn w:val="a0"/>
    <w:next w:val="a0"/>
    <w:pPr>
      <w:keepNext/>
      <w:spacing w:line="720" w:lineRule="auto"/>
      <w:outlineLvl w:val="2"/>
    </w:pPr>
    <w:rPr>
      <w:rFonts w:ascii="Cambria" w:eastAsia="新細明體" w:hAnsi="Cambria"/>
      <w:b/>
      <w:bCs/>
      <w:sz w:val="36"/>
      <w:szCs w:val="36"/>
    </w:rPr>
  </w:style>
  <w:style w:type="paragraph" w:styleId="4">
    <w:name w:val="heading 4"/>
    <w:basedOn w:val="a0"/>
    <w:next w:val="a0"/>
    <w:pPr>
      <w:keepNext/>
      <w:spacing w:line="720" w:lineRule="auto"/>
      <w:outlineLvl w:val="3"/>
    </w:pPr>
    <w:rPr>
      <w:rFonts w:ascii="Cambria" w:eastAsia="新細明體" w:hAnsi="Cambria"/>
      <w:sz w:val="36"/>
      <w:szCs w:val="36"/>
    </w:rPr>
  </w:style>
  <w:style w:type="paragraph" w:styleId="5">
    <w:name w:val="heading 5"/>
    <w:basedOn w:val="a0"/>
    <w:next w:val="a0"/>
    <w:pPr>
      <w:keepNext/>
      <w:ind w:left="200"/>
      <w:jc w:val="center"/>
      <w:outlineLvl w:val="4"/>
    </w:pPr>
    <w:rPr>
      <w:rFonts w:ascii="Cambria" w:hAnsi="Cambria"/>
      <w:b/>
      <w:bCs/>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列席者"/>
    <w:basedOn w:val="a0"/>
    <w:pPr>
      <w:spacing w:line="480" w:lineRule="exact"/>
      <w:ind w:left="1225" w:hanging="1225"/>
      <w:jc w:val="both"/>
    </w:pPr>
    <w:rPr>
      <w:rFonts w:ascii="標楷體" w:hAnsi="標楷體"/>
      <w:sz w:val="30"/>
      <w:szCs w:val="20"/>
    </w:rPr>
  </w:style>
  <w:style w:type="paragraph" w:styleId="a5">
    <w:name w:val="List Paragraph"/>
    <w:basedOn w:val="a0"/>
    <w:pPr>
      <w:ind w:left="480"/>
      <w:jc w:val="right"/>
    </w:pPr>
    <w:rPr>
      <w:sz w:val="24"/>
    </w:rPr>
  </w:style>
  <w:style w:type="paragraph" w:customStyle="1" w:styleId="--">
    <w:name w:val="規章內文--條"/>
    <w:basedOn w:val="a0"/>
    <w:autoRedefine/>
    <w:pPr>
      <w:autoSpaceDE w:val="0"/>
      <w:spacing w:line="480" w:lineRule="exact"/>
      <w:ind w:left="1021"/>
    </w:pPr>
    <w:rPr>
      <w:rFonts w:ascii="標楷體" w:hAnsi="標楷體"/>
      <w:b/>
      <w:kern w:val="0"/>
      <w:sz w:val="28"/>
      <w:szCs w:val="28"/>
    </w:rPr>
  </w:style>
  <w:style w:type="paragraph" w:styleId="a6">
    <w:name w:val="header"/>
    <w:basedOn w:val="a0"/>
    <w:pPr>
      <w:tabs>
        <w:tab w:val="center" w:pos="4153"/>
        <w:tab w:val="right" w:pos="8306"/>
      </w:tabs>
      <w:snapToGrid w:val="0"/>
    </w:pPr>
    <w:rPr>
      <w:sz w:val="20"/>
      <w:szCs w:val="20"/>
    </w:rPr>
  </w:style>
  <w:style w:type="character" w:customStyle="1" w:styleId="a7">
    <w:name w:val="頁首 字元"/>
    <w:basedOn w:val="a1"/>
    <w:rPr>
      <w:rFonts w:ascii="Times New Roman" w:hAnsi="Times New Roman"/>
      <w:sz w:val="20"/>
      <w:szCs w:val="20"/>
    </w:rPr>
  </w:style>
  <w:style w:type="paragraph" w:styleId="a8">
    <w:name w:val="footer"/>
    <w:basedOn w:val="a0"/>
    <w:pPr>
      <w:tabs>
        <w:tab w:val="center" w:pos="4153"/>
        <w:tab w:val="right" w:pos="8306"/>
      </w:tabs>
      <w:snapToGrid w:val="0"/>
    </w:pPr>
    <w:rPr>
      <w:sz w:val="20"/>
      <w:szCs w:val="20"/>
    </w:rPr>
  </w:style>
  <w:style w:type="character" w:customStyle="1" w:styleId="a9">
    <w:name w:val="頁尾 字元"/>
    <w:basedOn w:val="a1"/>
    <w:rPr>
      <w:rFonts w:ascii="Times New Roman" w:hAnsi="Times New Roman"/>
      <w:sz w:val="20"/>
      <w:szCs w:val="20"/>
    </w:rPr>
  </w:style>
  <w:style w:type="character" w:styleId="aa">
    <w:name w:val="Strong"/>
    <w:basedOn w:val="a1"/>
    <w:rPr>
      <w:b/>
      <w:bCs/>
    </w:rPr>
  </w:style>
  <w:style w:type="paragraph" w:styleId="20">
    <w:name w:val="Body Text Indent 2"/>
    <w:basedOn w:val="a0"/>
    <w:pPr>
      <w:autoSpaceDE w:val="0"/>
      <w:spacing w:line="400" w:lineRule="atLeast"/>
      <w:ind w:left="546" w:hanging="546"/>
      <w:jc w:val="both"/>
    </w:pPr>
    <w:rPr>
      <w:rFonts w:ascii="標楷體" w:hAnsi="標楷體"/>
      <w:kern w:val="0"/>
      <w:sz w:val="28"/>
    </w:rPr>
  </w:style>
  <w:style w:type="character" w:customStyle="1" w:styleId="21">
    <w:name w:val="本文縮排 2 字元"/>
    <w:basedOn w:val="a1"/>
    <w:rPr>
      <w:kern w:val="0"/>
      <w:sz w:val="28"/>
    </w:rPr>
  </w:style>
  <w:style w:type="paragraph" w:styleId="30">
    <w:name w:val="Body Text Indent 3"/>
    <w:basedOn w:val="a0"/>
    <w:pPr>
      <w:autoSpaceDE w:val="0"/>
      <w:spacing w:line="400" w:lineRule="atLeast"/>
      <w:ind w:left="504" w:hanging="504"/>
      <w:jc w:val="both"/>
    </w:pPr>
    <w:rPr>
      <w:rFonts w:ascii="標楷體" w:hAnsi="標楷體"/>
      <w:kern w:val="0"/>
      <w:sz w:val="28"/>
    </w:rPr>
  </w:style>
  <w:style w:type="character" w:customStyle="1" w:styleId="31">
    <w:name w:val="本文縮排 3 字元"/>
    <w:basedOn w:val="a1"/>
    <w:rPr>
      <w:kern w:val="0"/>
      <w:sz w:val="28"/>
    </w:rPr>
  </w:style>
  <w:style w:type="paragraph" w:customStyle="1" w:styleId="style11">
    <w:name w:val="style11"/>
    <w:basedOn w:val="a0"/>
    <w:pPr>
      <w:widowControl/>
      <w:spacing w:before="100" w:after="100" w:line="330" w:lineRule="atLeast"/>
    </w:pPr>
    <w:rPr>
      <w:rFonts w:ascii="新細明體" w:eastAsia="新細明體" w:hAnsi="新細明體" w:cs="新細明體"/>
      <w:kern w:val="0"/>
      <w:sz w:val="24"/>
    </w:rPr>
  </w:style>
  <w:style w:type="character" w:styleId="ab">
    <w:name w:val="page number"/>
    <w:basedOn w:val="a1"/>
  </w:style>
  <w:style w:type="paragraph" w:customStyle="1" w:styleId="006">
    <w:name w:val="006表格一、"/>
    <w:basedOn w:val="a0"/>
    <w:pPr>
      <w:spacing w:line="400" w:lineRule="exact"/>
      <w:ind w:left="602" w:right="57" w:hanging="545"/>
      <w:jc w:val="both"/>
    </w:pPr>
    <w:rPr>
      <w:sz w:val="28"/>
    </w:rPr>
  </w:style>
  <w:style w:type="character" w:customStyle="1" w:styleId="style2">
    <w:name w:val="style2"/>
    <w:basedOn w:val="a1"/>
  </w:style>
  <w:style w:type="character" w:styleId="ac">
    <w:name w:val="Hyperlink"/>
    <w:basedOn w:val="a1"/>
    <w:rPr>
      <w:strike w:val="0"/>
      <w:dstrike w:val="0"/>
      <w:color w:val="6F8D41"/>
      <w:u w:val="none"/>
    </w:rPr>
  </w:style>
  <w:style w:type="paragraph" w:styleId="ad">
    <w:name w:val="annotation text"/>
    <w:basedOn w:val="a0"/>
    <w:rPr>
      <w:rFonts w:eastAsia="新細明體"/>
      <w:sz w:val="24"/>
    </w:rPr>
  </w:style>
  <w:style w:type="character" w:customStyle="1" w:styleId="ae">
    <w:name w:val="註解文字 字元"/>
    <w:basedOn w:val="a1"/>
    <w:rPr>
      <w:rFonts w:ascii="Times New Roman" w:eastAsia="新細明體" w:hAnsi="Times New Roman"/>
    </w:rPr>
  </w:style>
  <w:style w:type="character" w:customStyle="1" w:styleId="af">
    <w:name w:val="註解主旨 字元"/>
    <w:basedOn w:val="ae"/>
    <w:rPr>
      <w:rFonts w:ascii="Times New Roman" w:eastAsia="新細明體" w:hAnsi="Times New Roman"/>
      <w:b/>
      <w:bCs/>
    </w:rPr>
  </w:style>
  <w:style w:type="paragraph" w:styleId="af0">
    <w:name w:val="annotation subject"/>
    <w:basedOn w:val="ad"/>
    <w:next w:val="ad"/>
    <w:rPr>
      <w:b/>
      <w:bCs/>
    </w:rPr>
  </w:style>
  <w:style w:type="paragraph" w:customStyle="1" w:styleId="Default">
    <w:name w:val="Default"/>
    <w:pPr>
      <w:widowControl w:val="0"/>
      <w:suppressAutoHyphens/>
      <w:autoSpaceDE w:val="0"/>
    </w:pPr>
    <w:rPr>
      <w:rFonts w:cs="標楷體"/>
      <w:color w:val="000000"/>
      <w:kern w:val="0"/>
    </w:rPr>
  </w:style>
  <w:style w:type="paragraph" w:customStyle="1" w:styleId="af1">
    <w:name w:val="應徵項目"/>
    <w:basedOn w:val="a0"/>
    <w:next w:val="af2"/>
    <w:pPr>
      <w:widowControl/>
      <w:spacing w:before="240" w:after="220" w:line="220" w:lineRule="atLeast"/>
    </w:pPr>
    <w:rPr>
      <w:rFonts w:ascii="Arial" w:eastAsia="新細明體" w:hAnsi="Arial"/>
      <w:kern w:val="0"/>
      <w:sz w:val="20"/>
      <w:szCs w:val="20"/>
      <w:lang w:bidi="he-IL"/>
    </w:rPr>
  </w:style>
  <w:style w:type="paragraph" w:styleId="af2">
    <w:name w:val="Body Text"/>
    <w:basedOn w:val="a0"/>
    <w:pPr>
      <w:spacing w:after="120"/>
    </w:pPr>
    <w:rPr>
      <w:rFonts w:eastAsia="新細明體"/>
      <w:sz w:val="24"/>
    </w:rPr>
  </w:style>
  <w:style w:type="character" w:customStyle="1" w:styleId="af3">
    <w:name w:val="本文 字元"/>
    <w:basedOn w:val="a1"/>
    <w:rPr>
      <w:rFonts w:ascii="Times New Roman" w:eastAsia="新細明體" w:hAnsi="Times New Roman"/>
    </w:rPr>
  </w:style>
  <w:style w:type="paragraph" w:styleId="af4">
    <w:name w:val="Balloon Text"/>
    <w:basedOn w:val="a0"/>
    <w:rPr>
      <w:rFonts w:ascii="Cambria" w:eastAsia="新細明體" w:hAnsi="Cambria"/>
      <w:sz w:val="18"/>
      <w:szCs w:val="18"/>
    </w:rPr>
  </w:style>
  <w:style w:type="character" w:customStyle="1" w:styleId="af5">
    <w:name w:val="註解方塊文字 字元"/>
    <w:basedOn w:val="a1"/>
    <w:rPr>
      <w:rFonts w:ascii="Cambria" w:eastAsia="新細明體" w:hAnsi="Cambria" w:cs="Times New Roman"/>
      <w:sz w:val="18"/>
      <w:szCs w:val="18"/>
    </w:rPr>
  </w:style>
  <w:style w:type="character" w:customStyle="1" w:styleId="10">
    <w:name w:val="標題 1 字元"/>
    <w:basedOn w:val="a1"/>
    <w:rPr>
      <w:rFonts w:ascii="Times New Roman" w:eastAsia="新細明體" w:hAnsi="Times New Roman"/>
    </w:rPr>
  </w:style>
  <w:style w:type="paragraph" w:styleId="af6">
    <w:name w:val="Note Heading"/>
    <w:basedOn w:val="a0"/>
    <w:next w:val="a0"/>
    <w:pPr>
      <w:jc w:val="center"/>
    </w:pPr>
    <w:rPr>
      <w:rFonts w:ascii="華康標楷體W5" w:eastAsia="華康標楷體W5" w:hAnsi="華康標楷體W5"/>
      <w:sz w:val="24"/>
      <w:szCs w:val="20"/>
    </w:rPr>
  </w:style>
  <w:style w:type="character" w:customStyle="1" w:styleId="af7">
    <w:name w:val="註釋標題 字元"/>
    <w:basedOn w:val="a1"/>
    <w:rPr>
      <w:rFonts w:ascii="華康標楷體W5" w:eastAsia="華康標楷體W5" w:hAnsi="華康標楷體W5"/>
      <w:szCs w:val="20"/>
    </w:rPr>
  </w:style>
  <w:style w:type="paragraph" w:customStyle="1" w:styleId="11">
    <w:name w:val="清單段落1"/>
    <w:basedOn w:val="a0"/>
    <w:pPr>
      <w:widowControl/>
      <w:ind w:left="720"/>
    </w:pPr>
    <w:rPr>
      <w:rFonts w:ascii="Calibri" w:eastAsia="新細明體" w:hAnsi="Calibri"/>
      <w:kern w:val="0"/>
      <w:sz w:val="22"/>
      <w:szCs w:val="22"/>
    </w:rPr>
  </w:style>
  <w:style w:type="character" w:styleId="af8">
    <w:name w:val="Emphasis"/>
    <w:basedOn w:val="a1"/>
    <w:rPr>
      <w:b w:val="0"/>
      <w:bCs w:val="0"/>
      <w:i w:val="0"/>
      <w:iCs w:val="0"/>
      <w:color w:val="DD4B39"/>
    </w:rPr>
  </w:style>
  <w:style w:type="character" w:styleId="af9">
    <w:name w:val="FollowedHyperlink"/>
    <w:basedOn w:val="a1"/>
    <w:rPr>
      <w:color w:val="800080"/>
      <w:u w:val="single"/>
    </w:rPr>
  </w:style>
  <w:style w:type="character" w:customStyle="1" w:styleId="comshowdata">
    <w:name w:val="com_show_data"/>
  </w:style>
  <w:style w:type="character" w:customStyle="1" w:styleId="style501">
    <w:name w:val="style501"/>
    <w:rPr>
      <w:color w:val="808080"/>
    </w:rPr>
  </w:style>
  <w:style w:type="character" w:customStyle="1" w:styleId="32">
    <w:name w:val="標題 3 字元"/>
    <w:basedOn w:val="a1"/>
    <w:rPr>
      <w:rFonts w:ascii="Cambria" w:eastAsia="新細明體" w:hAnsi="Cambria" w:cs="Times New Roman"/>
      <w:b/>
      <w:bCs/>
      <w:sz w:val="36"/>
      <w:szCs w:val="36"/>
    </w:rPr>
  </w:style>
  <w:style w:type="character" w:customStyle="1" w:styleId="40">
    <w:name w:val="標題 4 字元"/>
    <w:basedOn w:val="a1"/>
    <w:rPr>
      <w:rFonts w:ascii="Cambria" w:eastAsia="新細明體" w:hAnsi="Cambria"/>
      <w:sz w:val="36"/>
      <w:szCs w:val="36"/>
    </w:rPr>
  </w:style>
  <w:style w:type="paragraph" w:styleId="afa">
    <w:name w:val="Plain Text"/>
    <w:basedOn w:val="a0"/>
    <w:rPr>
      <w:rFonts w:ascii="細明體" w:eastAsia="細明體" w:hAnsi="細明體"/>
      <w:sz w:val="24"/>
      <w:szCs w:val="20"/>
    </w:rPr>
  </w:style>
  <w:style w:type="character" w:customStyle="1" w:styleId="afb">
    <w:name w:val="純文字 字元"/>
    <w:basedOn w:val="a1"/>
    <w:rPr>
      <w:rFonts w:ascii="細明體" w:eastAsia="細明體" w:hAnsi="細明體"/>
      <w:szCs w:val="20"/>
    </w:rPr>
  </w:style>
  <w:style w:type="paragraph" w:styleId="afc">
    <w:name w:val="Body Text Indent"/>
    <w:basedOn w:val="a0"/>
    <w:pPr>
      <w:spacing w:line="360" w:lineRule="auto"/>
      <w:ind w:left="1260" w:firstLine="359"/>
      <w:jc w:val="both"/>
    </w:pPr>
    <w:rPr>
      <w:rFonts w:eastAsia="新細明體"/>
      <w:sz w:val="26"/>
    </w:rPr>
  </w:style>
  <w:style w:type="character" w:customStyle="1" w:styleId="afd">
    <w:name w:val="本文縮排 字元"/>
    <w:basedOn w:val="a1"/>
    <w:rPr>
      <w:rFonts w:ascii="Times New Roman" w:eastAsia="新細明體" w:hAnsi="Times New Roman"/>
      <w:sz w:val="26"/>
    </w:rPr>
  </w:style>
  <w:style w:type="paragraph" w:styleId="afe">
    <w:name w:val="footnote text"/>
    <w:basedOn w:val="a0"/>
    <w:pPr>
      <w:snapToGrid w:val="0"/>
    </w:pPr>
    <w:rPr>
      <w:rFonts w:eastAsia="新細明體"/>
      <w:sz w:val="20"/>
      <w:szCs w:val="20"/>
    </w:rPr>
  </w:style>
  <w:style w:type="character" w:customStyle="1" w:styleId="aff">
    <w:name w:val="註腳文字 字元"/>
    <w:basedOn w:val="a1"/>
    <w:rPr>
      <w:rFonts w:ascii="Times New Roman" w:eastAsia="新細明體" w:hAnsi="Times New Roman"/>
      <w:sz w:val="20"/>
      <w:szCs w:val="20"/>
    </w:rPr>
  </w:style>
  <w:style w:type="character" w:styleId="aff0">
    <w:name w:val="footnote reference"/>
    <w:rPr>
      <w:position w:val="0"/>
      <w:vertAlign w:val="superscript"/>
    </w:rPr>
  </w:style>
  <w:style w:type="character" w:styleId="aff1">
    <w:name w:val="annotation reference"/>
    <w:rPr>
      <w:sz w:val="18"/>
      <w:szCs w:val="18"/>
    </w:rPr>
  </w:style>
  <w:style w:type="paragraph" w:styleId="aff2">
    <w:name w:val="endnote text"/>
    <w:basedOn w:val="a0"/>
    <w:pPr>
      <w:snapToGrid w:val="0"/>
    </w:pPr>
    <w:rPr>
      <w:rFonts w:eastAsia="新細明體"/>
      <w:sz w:val="24"/>
      <w:szCs w:val="20"/>
    </w:rPr>
  </w:style>
  <w:style w:type="character" w:customStyle="1" w:styleId="aff3">
    <w:name w:val="章節附註文字 字元"/>
    <w:basedOn w:val="a1"/>
    <w:rPr>
      <w:rFonts w:ascii="Times New Roman" w:eastAsia="新細明體" w:hAnsi="Times New Roman"/>
      <w:szCs w:val="20"/>
    </w:rPr>
  </w:style>
  <w:style w:type="character" w:styleId="aff4">
    <w:name w:val="endnote reference"/>
    <w:rPr>
      <w:position w:val="0"/>
      <w:vertAlign w:val="superscript"/>
    </w:rPr>
  </w:style>
  <w:style w:type="paragraph" w:customStyle="1" w:styleId="aff5">
    <w:name w:val="字元 字元 字元 字元 字元 字元 字元"/>
    <w:basedOn w:val="a0"/>
    <w:pPr>
      <w:widowControl/>
      <w:spacing w:after="160" w:line="240" w:lineRule="exact"/>
    </w:pPr>
    <w:rPr>
      <w:rFonts w:ascii="Verdana" w:eastAsia="新細明體" w:hAnsi="Verdana"/>
      <w:kern w:val="0"/>
      <w:sz w:val="20"/>
      <w:szCs w:val="20"/>
      <w:lang w:eastAsia="en-US"/>
    </w:rPr>
  </w:style>
  <w:style w:type="paragraph" w:styleId="a">
    <w:name w:val="List Bullet"/>
    <w:basedOn w:val="a0"/>
    <w:pPr>
      <w:numPr>
        <w:numId w:val="1"/>
      </w:numPr>
    </w:pPr>
    <w:rPr>
      <w:rFonts w:eastAsia="新細明體"/>
      <w:sz w:val="24"/>
      <w:szCs w:val="20"/>
    </w:rPr>
  </w:style>
  <w:style w:type="character" w:styleId="aff6">
    <w:name w:val="Placeholder Text"/>
    <w:rPr>
      <w:color w:val="808080"/>
    </w:rPr>
  </w:style>
  <w:style w:type="paragraph" w:styleId="Web">
    <w:name w:val="Normal (Web)"/>
    <w:basedOn w:val="a0"/>
    <w:pPr>
      <w:widowControl/>
      <w:spacing w:before="100" w:after="100"/>
    </w:pPr>
    <w:rPr>
      <w:rFonts w:ascii="Arial Unicode MS" w:eastAsia="Arial Unicode MS" w:hAnsi="Arial Unicode MS" w:cs="華康隸書體W6"/>
      <w:kern w:val="0"/>
      <w:sz w:val="24"/>
    </w:rPr>
  </w:style>
  <w:style w:type="character" w:customStyle="1" w:styleId="type11">
    <w:name w:val="type11"/>
    <w:rPr>
      <w:sz w:val="24"/>
      <w:szCs w:val="24"/>
    </w:rPr>
  </w:style>
  <w:style w:type="character" w:customStyle="1" w:styleId="apple-converted-space">
    <w:name w:val="apple-converted-space"/>
    <w:basedOn w:val="a1"/>
  </w:style>
  <w:style w:type="paragraph" w:customStyle="1" w:styleId="unnamed11">
    <w:name w:val="unnamed11"/>
    <w:basedOn w:val="a0"/>
    <w:pPr>
      <w:widowControl/>
      <w:spacing w:before="100" w:after="100"/>
    </w:pPr>
    <w:rPr>
      <w:rFonts w:ascii="新細明體" w:eastAsia="新細明體" w:hAnsi="新細明體" w:cs="新細明體"/>
      <w:kern w:val="0"/>
      <w:sz w:val="24"/>
    </w:rPr>
  </w:style>
  <w:style w:type="character" w:customStyle="1" w:styleId="style65">
    <w:name w:val="style65"/>
    <w:basedOn w:val="a1"/>
  </w:style>
  <w:style w:type="character" w:customStyle="1" w:styleId="style57">
    <w:name w:val="style57"/>
    <w:basedOn w:val="a1"/>
  </w:style>
  <w:style w:type="character" w:customStyle="1" w:styleId="style6">
    <w:name w:val="style6"/>
    <w:basedOn w:val="a1"/>
  </w:style>
  <w:style w:type="character" w:customStyle="1" w:styleId="style50">
    <w:name w:val="style50"/>
    <w:basedOn w:val="a1"/>
  </w:style>
  <w:style w:type="character" w:customStyle="1" w:styleId="style56">
    <w:name w:val="style56"/>
    <w:basedOn w:val="a1"/>
  </w:style>
  <w:style w:type="character" w:customStyle="1" w:styleId="g2">
    <w:name w:val="g2"/>
    <w:basedOn w:val="a1"/>
  </w:style>
  <w:style w:type="paragraph" w:styleId="aff7">
    <w:name w:val="Date"/>
    <w:basedOn w:val="a0"/>
    <w:next w:val="a0"/>
    <w:pPr>
      <w:jc w:val="right"/>
    </w:pPr>
    <w:rPr>
      <w:rFonts w:ascii="標楷體" w:hAnsi="標楷體"/>
      <w:sz w:val="28"/>
      <w:szCs w:val="20"/>
    </w:rPr>
  </w:style>
  <w:style w:type="character" w:customStyle="1" w:styleId="aff8">
    <w:name w:val="日期 字元"/>
    <w:basedOn w:val="a1"/>
    <w:rPr>
      <w:sz w:val="28"/>
      <w:szCs w:val="20"/>
    </w:rPr>
  </w:style>
  <w:style w:type="character" w:customStyle="1" w:styleId="textexposedshow">
    <w:name w:val="text_exposed_show"/>
  </w:style>
  <w:style w:type="character" w:customStyle="1" w:styleId="il">
    <w:name w:val="il"/>
    <w:basedOn w:val="a1"/>
  </w:style>
  <w:style w:type="paragraph" w:styleId="HTML">
    <w:name w:val="HTML Preformatted"/>
    <w:basedOn w:val="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Century"/>
      <w:kern w:val="0"/>
      <w:sz w:val="24"/>
    </w:rPr>
  </w:style>
  <w:style w:type="character" w:customStyle="1" w:styleId="HTML0">
    <w:name w:val="HTML 預設格式 字元"/>
    <w:basedOn w:val="a1"/>
    <w:rPr>
      <w:rFonts w:ascii="細明體" w:eastAsia="細明體" w:hAnsi="細明體" w:cs="Century"/>
      <w:kern w:val="0"/>
    </w:rPr>
  </w:style>
  <w:style w:type="character" w:customStyle="1" w:styleId="22">
    <w:name w:val="標題 2 字元"/>
    <w:basedOn w:val="a1"/>
    <w:rPr>
      <w:rFonts w:ascii="Cambria" w:hAnsi="Cambria" w:cs="Times New Roman"/>
      <w:b/>
      <w:bCs/>
      <w:sz w:val="32"/>
      <w:szCs w:val="48"/>
    </w:rPr>
  </w:style>
  <w:style w:type="paragraph" w:styleId="23">
    <w:name w:val="toc 2"/>
    <w:basedOn w:val="a0"/>
    <w:next w:val="a0"/>
    <w:autoRedefine/>
    <w:pPr>
      <w:widowControl/>
      <w:tabs>
        <w:tab w:val="right" w:leader="dot" w:pos="10194"/>
      </w:tabs>
      <w:spacing w:after="100" w:line="276" w:lineRule="auto"/>
      <w:ind w:left="480"/>
    </w:pPr>
    <w:rPr>
      <w:rFonts w:ascii="Calibri" w:eastAsia="新細明體" w:hAnsi="Calibri"/>
      <w:kern w:val="0"/>
      <w:sz w:val="22"/>
      <w:szCs w:val="22"/>
    </w:rPr>
  </w:style>
  <w:style w:type="paragraph" w:styleId="12">
    <w:name w:val="toc 1"/>
    <w:basedOn w:val="a0"/>
    <w:next w:val="a0"/>
    <w:autoRedefine/>
    <w:pPr>
      <w:widowControl/>
      <w:tabs>
        <w:tab w:val="left" w:pos="720"/>
        <w:tab w:val="left" w:pos="1200"/>
        <w:tab w:val="right" w:leader="dot" w:pos="10194"/>
      </w:tabs>
      <w:spacing w:after="100" w:line="276" w:lineRule="auto"/>
      <w:ind w:left="1886" w:right="240" w:hanging="1600"/>
    </w:pPr>
    <w:rPr>
      <w:rFonts w:ascii="Calibri" w:hAnsi="Calibri"/>
      <w:kern w:val="0"/>
      <w:sz w:val="28"/>
      <w:szCs w:val="22"/>
    </w:rPr>
  </w:style>
  <w:style w:type="character" w:styleId="aff9">
    <w:name w:val="line number"/>
    <w:basedOn w:val="a1"/>
  </w:style>
  <w:style w:type="paragraph" w:customStyle="1" w:styleId="110">
    <w:name w:val="樣式11"/>
    <w:basedOn w:val="1"/>
    <w:autoRedefine/>
    <w:pPr>
      <w:keepLines/>
      <w:widowControl/>
      <w:ind w:left="641"/>
      <w:jc w:val="center"/>
    </w:pPr>
    <w:rPr>
      <w:rFonts w:ascii="標楷體" w:eastAsia="標楷體" w:hAnsi="標楷體" w:cs="標楷體"/>
      <w:b/>
      <w:kern w:val="0"/>
      <w:sz w:val="36"/>
      <w:szCs w:val="36"/>
    </w:rPr>
  </w:style>
  <w:style w:type="character" w:customStyle="1" w:styleId="111">
    <w:name w:val="樣式11 字元"/>
    <w:basedOn w:val="10"/>
    <w:rPr>
      <w:rFonts w:ascii="Times New Roman" w:eastAsia="新細明體" w:hAnsi="Times New Roman" w:cs="標楷體"/>
      <w:b/>
      <w:kern w:val="0"/>
      <w:sz w:val="36"/>
      <w:szCs w:val="36"/>
    </w:rPr>
  </w:style>
  <w:style w:type="paragraph" w:customStyle="1" w:styleId="TableParagraph">
    <w:name w:val="Table Paragraph"/>
    <w:basedOn w:val="a0"/>
    <w:rPr>
      <w:rFonts w:ascii="Calibri" w:eastAsia="新細明體" w:hAnsi="Calibri"/>
      <w:kern w:val="0"/>
      <w:sz w:val="22"/>
      <w:szCs w:val="22"/>
      <w:lang w:eastAsia="en-US"/>
    </w:rPr>
  </w:style>
  <w:style w:type="character" w:customStyle="1" w:styleId="affa">
    <w:name w:val="清單段落 字元"/>
    <w:rPr>
      <w:rFonts w:ascii="Times New Roman" w:hAnsi="Times New Roman"/>
    </w:rPr>
  </w:style>
  <w:style w:type="paragraph" w:customStyle="1" w:styleId="13">
    <w:name w:val="內文1"/>
    <w:pPr>
      <w:suppressAutoHyphens/>
    </w:pPr>
    <w:rPr>
      <w:rFonts w:eastAsia="新細明體" w:cs="標楷體"/>
      <w:kern w:val="0"/>
    </w:rPr>
  </w:style>
  <w:style w:type="character" w:customStyle="1" w:styleId="normal">
    <w:name w:val="normal 字元"/>
    <w:basedOn w:val="a1"/>
    <w:rPr>
      <w:rFonts w:eastAsia="新細明體" w:cs="標楷體"/>
      <w:kern w:val="0"/>
    </w:rPr>
  </w:style>
  <w:style w:type="character" w:customStyle="1" w:styleId="50">
    <w:name w:val="標題 5 字元"/>
    <w:basedOn w:val="a1"/>
    <w:rPr>
      <w:rFonts w:ascii="Cambria" w:hAnsi="Cambria" w:cs="Times New Roman"/>
      <w:b/>
      <w:bCs/>
      <w:sz w:val="32"/>
      <w:szCs w:val="36"/>
    </w:rPr>
  </w:style>
  <w:style w:type="paragraph" w:styleId="affb">
    <w:name w:val="caption"/>
    <w:basedOn w:val="a0"/>
    <w:next w:val="a0"/>
    <w:rPr>
      <w:sz w:val="20"/>
      <w:szCs w:val="20"/>
    </w:rPr>
  </w:style>
  <w:style w:type="paragraph" w:customStyle="1" w:styleId="thean">
    <w:name w:val="thean提案"/>
    <w:basedOn w:val="a5"/>
    <w:pPr>
      <w:widowControl/>
      <w:numPr>
        <w:numId w:val="2"/>
      </w:numPr>
      <w:shd w:val="clear" w:color="auto" w:fill="FFFFFF"/>
      <w:spacing w:line="400" w:lineRule="exact"/>
      <w:jc w:val="left"/>
    </w:pPr>
    <w:rPr>
      <w:rFonts w:ascii="標楷體" w:hAnsi="標楷體"/>
      <w:color w:val="FF0000"/>
      <w:sz w:val="28"/>
      <w:szCs w:val="28"/>
    </w:rPr>
  </w:style>
  <w:style w:type="paragraph" w:customStyle="1" w:styleId="suehbing">
    <w:name w:val="suehbing"/>
    <w:basedOn w:val="a0"/>
    <w:pPr>
      <w:widowControl/>
      <w:shd w:val="clear" w:color="auto" w:fill="FFFFFF"/>
      <w:spacing w:line="400" w:lineRule="exact"/>
      <w:ind w:left="1352" w:hanging="1131"/>
    </w:pPr>
    <w:rPr>
      <w:rFonts w:ascii="標楷體" w:hAnsi="標楷體"/>
      <w:sz w:val="28"/>
      <w:szCs w:val="28"/>
    </w:rPr>
  </w:style>
  <w:style w:type="paragraph" w:customStyle="1" w:styleId="kuatgi">
    <w:name w:val="kuatgi"/>
    <w:basedOn w:val="a0"/>
    <w:pPr>
      <w:widowControl/>
      <w:shd w:val="clear" w:color="auto" w:fill="FFFFFF"/>
      <w:spacing w:line="400" w:lineRule="exact"/>
      <w:ind w:left="1353" w:hanging="1132"/>
    </w:pPr>
    <w:rPr>
      <w:rFonts w:ascii="標楷體" w:hAnsi="標楷體"/>
      <w:b/>
      <w:sz w:val="28"/>
      <w:szCs w:val="28"/>
    </w:rPr>
  </w:style>
  <w:style w:type="paragraph" w:customStyle="1" w:styleId="M">
    <w:name w:val="M"/>
    <w:basedOn w:val="a0"/>
    <w:pPr>
      <w:snapToGrid w:val="0"/>
      <w:spacing w:before="100" w:after="100" w:line="400" w:lineRule="exact"/>
      <w:jc w:val="center"/>
    </w:pPr>
    <w:rPr>
      <w:rFonts w:ascii="標楷體" w:hAnsi="標楷體"/>
      <w:b/>
      <w:sz w:val="36"/>
      <w:szCs w:val="36"/>
    </w:rPr>
  </w:style>
  <w:style w:type="paragraph" w:styleId="affc">
    <w:name w:val="Title"/>
    <w:basedOn w:val="a0"/>
    <w:next w:val="a0"/>
    <w:pPr>
      <w:spacing w:before="240" w:after="60"/>
      <w:jc w:val="center"/>
      <w:outlineLvl w:val="0"/>
    </w:pPr>
    <w:rPr>
      <w:rFonts w:ascii="Calibri Light" w:eastAsia="新細明體" w:hAnsi="Calibri Light"/>
      <w:b/>
      <w:bCs/>
      <w:szCs w:val="32"/>
    </w:rPr>
  </w:style>
  <w:style w:type="character" w:customStyle="1" w:styleId="affd">
    <w:name w:val="標題 字元"/>
    <w:basedOn w:val="a1"/>
    <w:rPr>
      <w:rFonts w:ascii="Calibri Light" w:eastAsia="新細明體" w:hAnsi="Calibri Light"/>
      <w:b/>
      <w:bCs/>
      <w:sz w:val="32"/>
      <w:szCs w:val="32"/>
    </w:rPr>
  </w:style>
  <w:style w:type="paragraph" w:styleId="affe">
    <w:name w:val="Revision"/>
    <w:pPr>
      <w:suppressAutoHyphens/>
    </w:pPr>
    <w:rPr>
      <w:rFonts w:ascii="Calibri" w:eastAsia="新細明體" w:hAnsi="Calibri"/>
      <w:szCs w:val="22"/>
    </w:rPr>
  </w:style>
  <w:style w:type="paragraph" w:customStyle="1" w:styleId="cjk">
    <w:name w:val="cjk"/>
    <w:basedOn w:val="a0"/>
    <w:pPr>
      <w:widowControl/>
      <w:spacing w:before="100" w:after="100"/>
    </w:pPr>
    <w:rPr>
      <w:rFonts w:ascii="新細明體" w:eastAsia="新細明體" w:hAnsi="新細明體" w:cs="新細明體"/>
      <w:kern w:val="0"/>
      <w:sz w:val="24"/>
    </w:rPr>
  </w:style>
  <w:style w:type="numbering" w:customStyle="1" w:styleId="LFO1">
    <w:name w:val="LFO1"/>
    <w:basedOn w:val="a3"/>
    <w:pPr>
      <w:numPr>
        <w:numId w:val="1"/>
      </w:numPr>
    </w:pPr>
  </w:style>
  <w:style w:type="numbering" w:customStyle="1" w:styleId="LFO2">
    <w:name w:val="LFO2"/>
    <w:basedOn w:val="a3"/>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662</Words>
  <Characters>3778</Characters>
  <Application>Microsoft Office Word</Application>
  <DocSecurity>0</DocSecurity>
  <Lines>31</Lines>
  <Paragraphs>8</Paragraphs>
  <ScaleCrop>false</ScaleCrop>
  <Company/>
  <LinksUpToDate>false</LinksUpToDate>
  <CharactersWithSpaces>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ntcu</dc:creator>
  <cp:lastModifiedBy>admin</cp:lastModifiedBy>
  <cp:revision>2</cp:revision>
  <cp:lastPrinted>2023-03-08T02:36:00Z</cp:lastPrinted>
  <dcterms:created xsi:type="dcterms:W3CDTF">2024-06-25T07:35:00Z</dcterms:created>
  <dcterms:modified xsi:type="dcterms:W3CDTF">2024-06-25T07:35:00Z</dcterms:modified>
</cp:coreProperties>
</file>